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after="760"/>
      </w:pPr>
    </w:p>
    <w:p>
      <w:pPr>
        <w:spacing w:before="40" w:after="100"/>
      </w:pPr>
      <w:r>
        <w:rPr>
          <w:b/>
          <w:color w:val="006A9E"/>
          <w:sz w:val="15"/>
        </w:rPr>
        <w:t>LUMEN TECHNICAL BRIEF 1</w:t>
      </w:r>
    </w:p>
    <w:p>
      <w:pPr>
        <w:pStyle w:val="Title"/>
      </w:pPr>
      <w:r>
        <w:t>Political vision, strategic direction and normative anchor</w:t>
      </w:r>
    </w:p>
    <w:p>
      <w:pPr>
        <w:pStyle w:val="Subtitle"/>
      </w:pPr>
      <w:r>
        <w:t>Sovereignty, cooperation and triple legitimacy beyond GDP</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TECHNICAL BRIEF</w:t>
            </w:r>
          </w:p>
          <w:p>
            <w:pPr>
              <w:spacing w:after="0"/>
            </w:pPr>
            <w:r>
              <w:rPr>
                <w:sz w:val="17"/>
              </w:rPr>
              <w:t>Prepared for the United Nations Beyond GDP consultation · 11 pages · English contribution</w:t>
            </w:r>
          </w:p>
        </w:tc>
      </w:tr>
    </w:tbl>
    <w:p>
      <w:pPr>
        <w:spacing w:after="40"/>
      </w:pPr>
    </w:p>
    <w:tbl>
      <w:tblPr>
        <w:tblW w:type="auto" w:w="0"/>
        <w:tblLayout w:type="fixed"/>
        <w:tblLook w:firstColumn="1" w:firstRow="1" w:lastColumn="0" w:lastRow="0" w:noHBand="0" w:noVBand="1" w:val="04A0"/>
      </w:tblPr>
      <w:tblGrid>
        <w:gridCol w:w="159"/>
        <w:gridCol w:w="9479"/>
      </w:tblGrid>
      <w:tr>
        <w:tc>
          <w:tcPr>
            <w:tcW w:type="dxa" w:w="5185"/>
            <w:shd w:fill="64D3E8"/>
            <w:tcBorders>
              <w:top w:val="single" w:sz="5" w:color="64D3E8"/>
              <w:left w:val="single" w:sz="5" w:color="64D3E8"/>
              <w:bottom w:val="single" w:sz="5" w:color="64D3E8"/>
              <w:right w:val="single" w:sz="5" w:color="64D3E8"/>
              <w:insideH w:val="single" w:sz="5" w:color="64D3E8"/>
              <w:insideV w:val="single" w:sz="5" w:color="64D3E8"/>
            </w:tcBorders>
            <w:vAlign w:val="center"/>
          </w:tcPr>
          <w:p/>
        </w:tc>
        <w:tc>
          <w:tcPr>
            <w:tcW w:type="dxa" w:w="5185"/>
            <w:shd w:fill="F7FBFD"/>
            <w:tcBorders>
              <w:top w:val="single" w:sz="5" w:color="64D3E8"/>
              <w:left w:val="single" w:sz="5" w:color="64D3E8"/>
              <w:bottom w:val="single" w:sz="5" w:color="64D3E8"/>
              <w:right w:val="single" w:sz="5" w:color="64D3E8"/>
              <w:insideH w:val="single" w:sz="5" w:color="64D3E8"/>
              <w:insideV w:val="single" w:sz="5" w:color="64D3E8"/>
            </w:tcBorders>
            <w:vAlign w:val="center"/>
          </w:tcPr>
          <w:p>
            <w:pPr>
              <w:spacing w:after="80"/>
            </w:pPr>
            <w:r>
              <w:rPr>
                <w:b/>
                <w:color w:val="006A9E"/>
                <w:sz w:val="19"/>
              </w:rPr>
              <w:t>EXPLORE THE INTERACTIVE DEMONSTRATORS</w:t>
            </w:r>
          </w:p>
          <w:p>
            <w:pPr>
              <w:spacing w:after="40"/>
            </w:pPr>
            <w:hyperlink r:id="rId11">
              <w:r>
                <w:rPr>
                  <w:color w:val="006A9E"/>
                  <w:u w:val="single"/>
                  <w:sz w:val="23"/>
                  <w:szCs w:val="23"/>
                </w:rPr>
                <w:t>https://ccop.world/data/files/un/lumen_beyondgdp.html</w:t>
              </w:r>
            </w:hyperlink>
          </w:p>
          <w:p>
            <w:pPr>
              <w:spacing w:after="0"/>
            </w:pPr>
            <w:r>
              <w:rPr>
                <w:color w:val="567080"/>
                <w:sz w:val="17"/>
              </w:rPr>
              <w:t>Live LUMEN minisite: architecture, OBI, NLPI, CEDI and implementation modules.</w:t>
            </w:r>
          </w:p>
        </w:tc>
      </w:tr>
    </w:tbl>
    <w:p>
      <w:pPr>
        <w:spacing w:after="880"/>
      </w:pPr>
    </w:p>
    <w:tbl>
      <w:tblPr>
        <w:tblW w:type="auto" w:w="0"/>
        <w:tblLayout w:type="fixed"/>
        <w:tblLook w:firstColumn="1" w:firstRow="1" w:lastColumn="0" w:lastRow="0" w:noHBand="0" w:noVBand="1" w:val="04A0"/>
      </w:tblPr>
      <w:tblGrid>
        <w:gridCol w:w="5185"/>
        <w:gridCol w:w="5185"/>
      </w:tblGrid>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SUBMITTED BY</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Citizen Conference Of Parties (CCOP)</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color w:val="567080"/>
                <w:sz w:val="15"/>
              </w:rPr>
              <w:t>AUTHOR</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shd w:fill="F7FBFD"/>
          </w:tcPr>
          <w:p>
            <w:pPr>
              <w:spacing w:after="0"/>
            </w:pPr>
            <w:r>
              <w:rPr>
                <w:b/>
                <w:sz w:val="18"/>
              </w:rPr>
              <w:t>Nicolas Gros de Seta</w:t>
            </w:r>
          </w:p>
        </w:tc>
      </w:tr>
      <w:tr>
        <w:tc>
          <w:tcPr>
            <w:tcW w:type="dxa" w:w="238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567080"/>
                <w:sz w:val="15"/>
              </w:rPr>
              <w:t>PROGRAMME</w:t>
            </w:r>
          </w:p>
        </w:tc>
        <w:tc>
          <w:tcPr>
            <w:tcW w:type="dxa" w:w="6973"/>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sz w:val="18"/>
              </w:rPr>
              <w:t>LUMEN</w:t>
            </w:r>
          </w:p>
        </w:tc>
      </w:tr>
    </w:tbl>
    <w:p/>
    <w:p>
      <w:pPr>
        <w:jc w:val="right"/>
      </w:pPr>
      <w:r>
        <w:rPr>
          <w:b/>
          <w:color w:val="006A9E"/>
          <w:sz w:val="20"/>
        </w:rPr>
        <w:t>July 2026</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EXECUTIVE ANSWER</w:t>
      </w:r>
    </w:p>
    <w:p>
      <w:pPr>
        <w:pStyle w:val="Heading1"/>
      </w:pPr>
      <w:r>
        <w:t>A shared direction without a single centre</w:t>
      </w:r>
    </w:p>
    <w:p>
      <w:r>
        <w:t>The objective should be equitable, inclusive and sustainable human and planetary well-being, pursued through institutions capable of learning. LUMEN treats humanity as deeply interdependent without treating it as politically uniform. The “global brain” is an organising metaphor for distributed intelligence: coordination grows from connected, autonomous actors rather than from a central controller.</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NORMATIVE ANCHOR</w:t>
            </w:r>
          </w:p>
          <w:p>
            <w:pPr>
              <w:spacing w:after="0"/>
            </w:pPr>
            <w:r>
              <w:rPr>
                <w:sz w:val="17"/>
              </w:rPr>
              <w:t>A decision is robust only when it is scientifically viable, legally coherent and socio-emotionally legitimate. These are distinct tests. None is a proxy for the others.</w:t>
            </w:r>
          </w:p>
        </w:tc>
      </w:tr>
    </w:tbl>
    <w:p>
      <w:pPr>
        <w:pStyle w:val="ListBullet"/>
        <w:spacing w:after="80"/>
        <w:ind w:left="255" w:hanging="113"/>
      </w:pPr>
      <w:r>
        <w:t>Scientific viability protects the physical and social conditions of life.</w:t>
      </w:r>
    </w:p>
    <w:p>
      <w:pPr>
        <w:pStyle w:val="ListBullet"/>
        <w:spacing w:after="80"/>
        <w:ind w:left="255" w:hanging="113"/>
      </w:pPr>
      <w:r>
        <w:t>Legal coherence protects rights, authorised commitments and predictable institutions.</w:t>
      </w:r>
    </w:p>
    <w:p>
      <w:pPr>
        <w:pStyle w:val="ListBullet"/>
        <w:spacing w:after="80"/>
        <w:ind w:left="255" w:hanging="113"/>
      </w:pPr>
      <w:r>
        <w:t>Socio-emotional legitimacy protects agency, recognition, trust and capacity to act.</w:t>
      </w:r>
    </w:p>
    <w:p>
      <w:pPr>
        <w:pStyle w:val="ListBullet"/>
        <w:spacing w:after="80"/>
        <w:ind w:left="255" w:hanging="113"/>
      </w:pPr>
      <w:r>
        <w:t>Financial feasibility remains necessary but cannot override a failed sustainability floor.</w:t>
      </w:r>
    </w:p>
    <w:p>
      <w:r>
        <w:t>This approach supports international cooperation because it makes obligations and spillovers visible. It protects sovereignty because national institutions retain ownership of priorities, methods and decisions within the applicable legal order.</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ENGLISH ACRONYMS USED THROUGHOUT</w:t>
            </w:r>
          </w:p>
          <w:p>
            <w:pPr>
              <w:spacing w:after="0"/>
            </w:pPr>
            <w:r>
              <w:rPr>
                <w:sz w:val="17"/>
              </w:rPr>
              <w:t>OBI = Organisational Biomimicry Index · NLPI = Net Legal Production Index · CEDI = Collective Emotional Dynamics Index.</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1</w:t>
      </w:r>
    </w:p>
    <w:p>
      <w:pPr>
        <w:pStyle w:val="Heading1"/>
      </w:pPr>
      <w:r>
        <w:t>Overarching objective and long-term vision</w:t>
      </w:r>
    </w:p>
    <w:p>
      <w:r>
        <w:t>The long-term vision is a world in which public value is judged by the durable capacity of people, institutions and ecosystems to flourish together. GDP remains useful for market production but ceases to stand in for welfare, legitimacy or sustainability.</w:t>
      </w:r>
    </w:p>
    <w:p>
      <w:pPr>
        <w:spacing w:after="60"/>
        <w:jc w:val="center"/>
      </w:pPr>
      <w:r>
        <w:drawing>
          <wp:inline xmlns:a="http://schemas.openxmlformats.org/drawingml/2006/main" xmlns:pic="http://schemas.openxmlformats.org/drawingml/2006/picture">
            <wp:extent cx="4608000" cy="4027200"/>
            <wp:docPr id="1" name="Picture 1"/>
            <wp:cNvGraphicFramePr>
              <a:graphicFrameLocks noChangeAspect="1"/>
            </wp:cNvGraphicFramePr>
            <a:graphic>
              <a:graphicData uri="http://schemas.openxmlformats.org/drawingml/2006/picture">
                <pic:pic>
                  <pic:nvPicPr>
                    <pic:cNvPr id="0" name="triple_sustainability.png"/>
                    <pic:cNvPicPr/>
                  </pic:nvPicPr>
                  <pic:blipFill>
                    <a:blip r:embed="rId12"/>
                    <a:stretch>
                      <a:fillRect/>
                    </a:stretch>
                  </pic:blipFill>
                  <pic:spPr>
                    <a:xfrm>
                      <a:off x="0" y="0"/>
                      <a:ext cx="4608000" cy="4027200"/>
                    </a:xfrm>
                    <a:prstGeom prst="rect"/>
                  </pic:spPr>
                </pic:pic>
              </a:graphicData>
            </a:graphic>
          </wp:inline>
        </w:drawing>
      </w:r>
    </w:p>
    <w:p>
      <w:pPr>
        <w:pStyle w:val="ListBullet"/>
        <w:spacing w:after="80"/>
        <w:ind w:left="255" w:hanging="113"/>
      </w:pPr>
      <w:r>
        <w:t>Equity means distribution, voice and access to capabilities are visible.</w:t>
      </w:r>
    </w:p>
    <w:p>
      <w:pPr>
        <w:pStyle w:val="ListBullet"/>
        <w:spacing w:after="80"/>
        <w:ind w:left="255" w:hanging="113"/>
      </w:pPr>
      <w:r>
        <w:t>Inclusion means marginalised people participate in defining and producing relevant evidence.</w:t>
      </w:r>
    </w:p>
    <w:p>
      <w:pPr>
        <w:pStyle w:val="ListBullet"/>
        <w:spacing w:after="80"/>
        <w:ind w:left="255" w:hanging="113"/>
      </w:pPr>
      <w:r>
        <w:t>Sustainability means critical natural, legal and institutional foundations are not substitutable.</w:t>
      </w:r>
    </w:p>
    <w:p>
      <w:pPr>
        <w:pStyle w:val="ListBullet"/>
        <w:spacing w:after="80"/>
        <w:ind w:left="255" w:hanging="113"/>
      </w:pPr>
      <w:r>
        <w:t>Resilience means systems can absorb shocks, learn and transform without abandoning rights or purpose.</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2</w:t>
      </w:r>
    </w:p>
    <w:p>
      <w:pPr>
        <w:pStyle w:val="Heading1"/>
      </w:pPr>
      <w:r>
        <w:t>A coherent structure for multidimensional challenges</w:t>
      </w:r>
    </w:p>
    <w:p>
      <w:r>
        <w:t>CCOP supports the HLEG’s four-part framework and proposes a nesting rule: foundational principles and non-substitutable floors constrain the appraisal; current well-being describes present outcomes; equity and inclusion reveal distribution; capital stocks and resilience reveal future viability.</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871"/>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Layer</w:t>
            </w:r>
          </w:p>
        </w:tc>
        <w:tc>
          <w:tcPr>
            <w:tcW w:type="dxa" w:w="3628"/>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HLEG contribution</w:t>
            </w:r>
          </w:p>
        </w:tc>
        <w:tc>
          <w:tcPr>
            <w:tcW w:type="dxa" w:w="391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LUMEN operational addition</w:t>
            </w:r>
          </w:p>
        </w:tc>
      </w:tr>
      <w:tr>
        <w:tc>
          <w:tcPr>
            <w:tcW w:type="dxa" w:w="187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Foundations</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Peace, human rights and respect for the planet.</w:t>
            </w:r>
          </w:p>
        </w:tc>
        <w:tc>
          <w:tcPr>
            <w:tcW w:type="dxa" w:w="391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Explicit legal/scientific floor tests and escalation rules.</w:t>
            </w:r>
          </w:p>
        </w:tc>
      </w:tr>
      <w:tr>
        <w:tc>
          <w:tcPr>
            <w:tcW w:type="dxa" w:w="187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Current well-being</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Multidimensional dashboard of human and environmental outcomes.</w:t>
            </w:r>
          </w:p>
        </w:tc>
        <w:tc>
          <w:tcPr>
            <w:tcW w:type="dxa" w:w="391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Decision materiality and lived-experience interpretation.</w:t>
            </w:r>
          </w:p>
        </w:tc>
      </w:tr>
      <w:tr>
        <w:tc>
          <w:tcPr>
            <w:tcW w:type="dxa" w:w="1871"/>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Equity and inclusion</w:t>
            </w:r>
          </w:p>
        </w:tc>
        <w:tc>
          <w:tcPr>
            <w:tcW w:type="dxa" w:w="3628"/>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Distribution across people, places and generations.</w:t>
            </w:r>
          </w:p>
        </w:tc>
        <w:tc>
          <w:tcPr>
            <w:tcW w:type="dxa" w:w="391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CEDI participation, recognition and agency signals.</w:t>
            </w:r>
          </w:p>
        </w:tc>
      </w:tr>
      <w:tr>
        <w:tc>
          <w:tcPr>
            <w:tcW w:type="dxa" w:w="1871"/>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Sustainability and resilience</w:t>
            </w:r>
          </w:p>
        </w:tc>
        <w:tc>
          <w:tcPr>
            <w:tcW w:type="dxa" w:w="3628"/>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Produced, human, social, institutional and natural capital.</w:t>
            </w:r>
          </w:p>
        </w:tc>
        <w:tc>
          <w:tcPr>
            <w:tcW w:type="dxa" w:w="391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OBI viability profile and NLPI value/capture ledger.</w:t>
            </w:r>
          </w:p>
        </w:tc>
      </w:tr>
    </w:tbl>
    <w:p>
      <w:pPr>
        <w:spacing w:after="0"/>
      </w:pP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COHERENCE RULE</w:t>
            </w:r>
          </w:p>
          <w:p>
            <w:pPr>
              <w:spacing w:after="0"/>
            </w:pPr>
            <w:r>
              <w:rPr>
                <w:sz w:val="17"/>
              </w:rPr>
              <w:t>One architecture, multiple measures: dimensions remain visible; floors precede aggregation; uncertainty follows every result.</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3</w:t>
      </w:r>
    </w:p>
    <w:p>
      <w:pPr>
        <w:pStyle w:val="Heading1"/>
      </w:pPr>
      <w:r>
        <w:t>Complement, do not duplicate, the existing architecture</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81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Existing framework</w:t>
            </w:r>
          </w:p>
        </w:tc>
        <w:tc>
          <w:tcPr>
            <w:tcW w:type="dxa" w:w="357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What it already does</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LUMEN’s complementary role</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2030 Agenda / SDGs</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Universal goals, targets and indicators.</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Connect selected indicators to scenarios, budgets, delivery and feedback.</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MVI</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Profiles structural vulnerability and lack of resilience.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Add implementation capacity, legal coherence and time-bound response portfolios.</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Sevilla Commitment</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Mobilises financing for development and reforms the financing architecture.</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Expose hidden costs, revenue leakage, value capture and distributional safeguards.</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SEEA</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Integrates environmental assets and ecosystem services with economic accounts.</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Use natural-capital evidence as a floor and portfolio input.</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National frameworks</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Reflect country priorities and institutions.</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Provide a modular operating cycle rather than a substitute dashboard.</w:t>
            </w:r>
          </w:p>
        </w:tc>
      </w:tr>
    </w:tbl>
    <w:p>
      <w:pPr>
        <w:spacing w:after="0"/>
      </w:pPr>
    </w:p>
    <w:p>
      <w:r>
        <w:t>The Beyond GDP process should resist framework proliferation. Its comparative advantage is to define a common direction, minimum safeguards and implementation pathway while recognising that the listed instruments have different legal mandates and decision uses.</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COHERENT NESTING IN NLPI</w:t>
            </w:r>
          </w:p>
          <w:p>
            <w:pPr>
              <w:spacing w:after="0"/>
            </w:pPr>
            <w:r>
              <w:rPr>
                <w:sz w:val="17"/>
              </w:rPr>
              <w:t>Beyond GDP indicators are included as documented evidence inputs. NLPI connects them to the applicable country-owned normative profile and records their authorised decision use without turning every indicator into a legal rule.</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4</w:t>
      </w:r>
    </w:p>
    <w:p>
      <w:pPr>
        <w:pStyle w:val="Heading1"/>
      </w:pPr>
      <w:r>
        <w:t>Roles, ownership and subsidiarity</w:t>
      </w:r>
    </w:p>
    <w:tbl>
      <w:tblPr>
        <w:tblW w:type="auto" w:w="0"/>
        <w:jc w:val="center"/>
        <w:tblLayout w:type="fixed"/>
        <w:tblLook w:firstColumn="1" w:firstRow="1" w:lastColumn="0" w:lastRow="0" w:noHBand="0" w:noVBand="1" w:val="04A0"/>
      </w:tblPr>
      <w:tblGrid>
        <w:gridCol w:w="5185"/>
        <w:gridCol w:w="5185"/>
      </w:tblGrid>
      <w:tr>
        <w:trPr>
          <w:tblHeader w:val="true"/>
        </w:trPr>
        <w:tc>
          <w:tcPr>
            <w:tcW w:type="dxa" w:w="300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Actor</w:t>
            </w:r>
          </w:p>
        </w:tc>
        <w:tc>
          <w:tcPr>
            <w:tcW w:type="dxa" w:w="6406"/>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Primary role</w:t>
            </w:r>
          </w:p>
        </w:tc>
      </w:tr>
      <w:tr>
        <w:tc>
          <w:tcPr>
            <w:tcW w:type="dxa" w:w="300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United Nations</w:t>
            </w:r>
          </w:p>
        </w:tc>
        <w:tc>
          <w:tcPr>
            <w:tcW w:type="dxa" w:w="6406"/>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Convene, define minimum metadata and safeguards, support pilots, report learning and protect coherence.</w:t>
            </w:r>
          </w:p>
        </w:tc>
      </w:tr>
      <w:tr>
        <w:tc>
          <w:tcPr>
            <w:tcW w:type="dxa" w:w="300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Member States</w:t>
            </w:r>
          </w:p>
        </w:tc>
        <w:tc>
          <w:tcPr>
            <w:tcW w:type="dxa" w:w="6406"/>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Own priorities, select indicators, authorise decisions, fund implementation and ensure accountability.</w:t>
            </w:r>
          </w:p>
        </w:tc>
      </w:tr>
      <w:tr>
        <w:tc>
          <w:tcPr>
            <w:tcW w:type="dxa" w:w="300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International organisations / IFIs</w:t>
            </w:r>
          </w:p>
        </w:tc>
        <w:tc>
          <w:tcPr>
            <w:tcW w:type="dxa" w:w="6406"/>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Use the framework transparently, support capacity and avoid automatic scoring-based conditionality.</w:t>
            </w:r>
          </w:p>
        </w:tc>
      </w:tr>
      <w:tr>
        <w:tc>
          <w:tcPr>
            <w:tcW w:type="dxa" w:w="300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National statistical systems</w:t>
            </w:r>
          </w:p>
        </w:tc>
        <w:tc>
          <w:tcPr>
            <w:tcW w:type="dxa" w:w="6406"/>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Steward official and complementary data, quality, interoperability, disaggregation and professional independence.</w:t>
            </w:r>
          </w:p>
        </w:tc>
      </w:tr>
      <w:tr>
        <w:tc>
          <w:tcPr>
            <w:tcW w:type="dxa" w:w="300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Courts, parliaments and oversight bodies</w:t>
            </w:r>
          </w:p>
        </w:tc>
        <w:tc>
          <w:tcPr>
            <w:tcW w:type="dxa" w:w="6406"/>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Interpret law, protect rights, authorise resources and review decision integrity.</w:t>
            </w:r>
          </w:p>
        </w:tc>
      </w:tr>
      <w:tr>
        <w:tc>
          <w:tcPr>
            <w:tcW w:type="dxa" w:w="300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Civil society, communities and firms</w:t>
            </w:r>
          </w:p>
        </w:tc>
        <w:tc>
          <w:tcPr>
            <w:tcW w:type="dxa" w:w="6406"/>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Co-design evidence, reveal impacts, deliver commitments and contest assumptions.</w:t>
            </w:r>
          </w:p>
        </w:tc>
      </w:tr>
    </w:tbl>
    <w:p>
      <w:pPr>
        <w:spacing w:after="0"/>
      </w:pP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SUBSIDIARITY</w:t>
            </w:r>
          </w:p>
          <w:p>
            <w:pPr>
              <w:spacing w:after="0"/>
            </w:pPr>
            <w:r>
              <w:rPr>
                <w:sz w:val="17"/>
              </w:rPr>
              <w:t>Allocate a decision to the lowest competent level, but move evidence and coordination upward when spillovers exceed that level.</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GUIDING QUESTION 5</w:t>
      </w:r>
    </w:p>
    <w:p>
      <w:pPr>
        <w:pStyle w:val="Heading1"/>
      </w:pPr>
      <w:r>
        <w:t>Priorities from the HLEG recommendations</w:t>
      </w:r>
    </w:p>
    <w:p>
      <w:pPr>
        <w:pStyle w:val="ListNumber"/>
        <w:spacing w:after="60"/>
        <w:ind w:left="283" w:hanging="113"/>
      </w:pPr>
      <w:r>
        <w:t>National dashboards by 2027, adapted to country contexts and linked to planning and budgets.</w:t>
      </w:r>
    </w:p>
    <w:p>
      <w:pPr>
        <w:pStyle w:val="ListNumber"/>
        <w:spacing w:after="60"/>
        <w:ind w:left="283" w:hanging="113"/>
      </w:pPr>
      <w:r>
        <w:t>Foundational principles and safeguards that cannot be reduced to an aggregate indicator.</w:t>
      </w:r>
    </w:p>
    <w:p>
      <w:pPr>
        <w:pStyle w:val="ListNumber"/>
        <w:spacing w:after="60"/>
        <w:ind w:left="283" w:hanging="113"/>
      </w:pPr>
      <w:r>
        <w:t>Capital and wealth accounting with explicit treatment of natural-capital non-substitutability.</w:t>
      </w:r>
    </w:p>
    <w:p>
      <w:pPr>
        <w:pStyle w:val="ListNumber"/>
        <w:spacing w:after="60"/>
        <w:ind w:left="283" w:hanging="113"/>
      </w:pPr>
      <w:r>
        <w:t>Comparable spillover measures and better distributional evidence.</w:t>
      </w:r>
    </w:p>
    <w:p>
      <w:pPr>
        <w:pStyle w:val="ListNumber"/>
        <w:spacing w:after="60"/>
        <w:ind w:left="283" w:hanging="113"/>
      </w:pPr>
      <w:r>
        <w:t>A small set of headline indicators only after scientific review and public debate over normative weights.</w:t>
      </w:r>
    </w:p>
    <w:p>
      <w:pPr>
        <w:pStyle w:val="ListNumber"/>
        <w:spacing w:after="60"/>
        <w:ind w:left="283" w:hanging="113"/>
      </w:pPr>
      <w:r>
        <w:t>Investment in national statistical systems, annual reporting and clear metadata on quality, uncertainty and limitations.</w:t>
      </w:r>
    </w:p>
    <w:p>
      <w:r>
        <w:t>LUMEN adds a seventh priority: establish a common operating cycle so that new measures change decisions. Without a budget and delivery pathway, a dashboard risks becoming an additional reporting burden.</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PROPOSED SEQUENCE</w:t>
            </w:r>
          </w:p>
          <w:p>
            <w:pPr>
              <w:spacing w:after="0"/>
            </w:pPr>
            <w:r>
              <w:rPr>
                <w:sz w:val="17"/>
              </w:rPr>
              <w:t>Floors → dashboard → deliberation → budget → delivery → evaluation → revised evidence.</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NET LEGAL PRODUCTION INDEX</w:t>
      </w:r>
    </w:p>
    <w:p>
      <w:pPr>
        <w:pStyle w:val="Heading1"/>
      </w:pPr>
      <w:r>
        <w:t>Make the normative architecture visible</w:t>
      </w:r>
    </w:p>
    <w:p>
      <w:pPr>
        <w:spacing w:after="60"/>
        <w:jc w:val="center"/>
      </w:pPr>
      <w:r>
        <w:drawing>
          <wp:inline xmlns:a="http://schemas.openxmlformats.org/drawingml/2006/main" xmlns:pic="http://schemas.openxmlformats.org/drawingml/2006/picture">
            <wp:extent cx="5508000" cy="2878847"/>
            <wp:docPr id="2" name="Picture 2"/>
            <wp:cNvGraphicFramePr>
              <a:graphicFrameLocks noChangeAspect="1"/>
            </wp:cNvGraphicFramePr>
            <a:graphic>
              <a:graphicData uri="http://schemas.openxmlformats.org/drawingml/2006/picture">
                <pic:pic>
                  <pic:nvPicPr>
                    <pic:cNvPr id="0" name="normative_architecture.png"/>
                    <pic:cNvPicPr/>
                  </pic:nvPicPr>
                  <pic:blipFill>
                    <a:blip r:embed="rId13"/>
                    <a:stretch>
                      <a:fillRect/>
                    </a:stretch>
                  </pic:blipFill>
                  <pic:spPr>
                    <a:xfrm>
                      <a:off x="0" y="0"/>
                      <a:ext cx="5508000" cy="2878847"/>
                    </a:xfrm>
                    <a:prstGeom prst="rect"/>
                  </pic:spPr>
                </pic:pic>
              </a:graphicData>
            </a:graphic>
          </wp:inline>
        </w:drawing>
      </w:r>
    </w:p>
    <w:p>
      <w:r>
        <w:t>NLPI traces legal and normative sources across international, regional, national and local levels. It does not assign fixed universal weights. Each country publishes a normative profile explaining which sources bind, which guide, where conflicts exist, and how subsidiarity and constitutional review are handled.</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CORE EXPRESSION</w:t>
            </w:r>
          </w:p>
          <w:p>
            <w:pPr>
              <w:spacing w:after="0"/>
            </w:pPr>
            <w:r>
              <w:rPr>
                <w:sz w:val="17"/>
              </w:rPr>
              <w:t>Potential net lawful value = Σ(V − I + C) × P. P is a transparent normative factor derived from the applicable legal order and public priorities; it is not a hidden political preference.</w:t>
            </w:r>
          </w:p>
        </w:tc>
      </w:tr>
    </w:tbl>
    <w:p>
      <w:pPr>
        <w:pStyle w:val="ListBullet"/>
        <w:spacing w:after="40"/>
        <w:ind w:left="255" w:hanging="113"/>
      </w:pPr>
      <w:r>
        <w:t>Binding obligations and fundamental rights are treated as constraints, not percentages.</w:t>
      </w:r>
    </w:p>
    <w:p>
      <w:pPr>
        <w:pStyle w:val="ListBullet"/>
        <w:spacing w:after="40"/>
        <w:ind w:left="255" w:hanging="113"/>
      </w:pPr>
      <w:r>
        <w:t>Policy and standards may guide prioritisation but cannot override higher-order law.</w:t>
      </w:r>
    </w:p>
    <w:p>
      <w:pPr>
        <w:pStyle w:val="ListBullet"/>
        <w:spacing w:after="40"/>
        <w:ind w:left="255" w:hanging="113"/>
      </w:pPr>
      <w:r>
        <w:t>Contestation and judicial or parliamentary review remain available.</w:t>
      </w:r>
    </w:p>
    <w:p>
      <w:pPr>
        <w:pStyle w:val="ListBullet"/>
        <w:spacing w:after="40"/>
        <w:ind w:left="255" w:hanging="113"/>
      </w:pPr>
      <w:r>
        <w:t>Cross-border effects must identify affected jurisdictions and reciprocal duties.</w:t>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TRIPLE DECISION MATERIALITY</w:t>
      </w:r>
    </w:p>
    <w:p>
      <w:pPr>
        <w:pStyle w:val="Heading1"/>
      </w:pPr>
      <w:r>
        <w:t>Extend decision quality without confusing reporting law</w:t>
      </w:r>
    </w:p>
    <w:tbl>
      <w:tblPr>
        <w:tblW w:type="auto" w:w="0"/>
        <w:jc w:val="center"/>
        <w:tblLayout w:type="fixed"/>
        <w:tblLook w:firstColumn="1" w:firstRow="1" w:lastColumn="0" w:lastRow="0" w:noHBand="0" w:noVBand="1" w:val="04A0"/>
      </w:tblPr>
      <w:tblGrid>
        <w:gridCol w:w="3457"/>
        <w:gridCol w:w="3457"/>
        <w:gridCol w:w="3457"/>
      </w:tblGrid>
      <w:tr>
        <w:trPr>
          <w:tblHeader w:val="true"/>
        </w:trPr>
        <w:tc>
          <w:tcPr>
            <w:tcW w:type="dxa" w:w="1814"/>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Materiality lens</w:t>
            </w:r>
          </w:p>
        </w:tc>
        <w:tc>
          <w:tcPr>
            <w:tcW w:type="dxa" w:w="4025"/>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Decision question</w:t>
            </w:r>
          </w:p>
        </w:tc>
        <w:tc>
          <w:tcPr>
            <w:tcW w:type="dxa" w:w="3572"/>
            <w:shd w:fill="112332"/>
            <w:tcBorders>
              <w:top w:val="single" w:sz="3" w:color="112332"/>
              <w:left w:val="single" w:sz="3" w:color="112332"/>
              <w:bottom w:val="single" w:sz="3" w:color="112332"/>
              <w:right w:val="single" w:sz="3" w:color="112332"/>
              <w:insideH w:val="single" w:sz="3" w:color="112332"/>
              <w:insideV w:val="single" w:sz="3" w:color="112332"/>
            </w:tcBorders>
          </w:tcPr>
          <w:p>
            <w:pPr>
              <w:spacing w:after="0"/>
            </w:pPr>
            <w:r>
              <w:rPr>
                <w:b/>
                <w:color w:val="FFFFFF"/>
                <w:sz w:val="15"/>
              </w:rPr>
              <w:t>Evidence examples</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Scientific / biophysical</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Could the option undermine safe operating conditions or critical social systems?</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Planetary boundaries, health evidence, resilience and distribution.</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Legal / normative</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Does the option respect binding law, rights and authorised commitments?</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Treaties, constitutions, legislation, case law and public mandates.</w:t>
            </w:r>
          </w:p>
        </w:tc>
      </w:tr>
      <w:tr>
        <w:tc>
          <w:tcPr>
            <w:tcW w:type="dxa" w:w="1814"/>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Socio-emotional</w:t>
            </w:r>
          </w:p>
        </w:tc>
        <w:tc>
          <w:tcPr>
            <w:tcW w:type="dxa" w:w="4025"/>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Can affected people understand, influence and sustain the action?</w:t>
            </w:r>
          </w:p>
        </w:tc>
        <w:tc>
          <w:tcPr>
            <w:tcW w:type="dxa" w:w="3572"/>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Subjective well-being, needs, recognition, trust, motivation and qualitative evidence.</w:t>
            </w:r>
          </w:p>
        </w:tc>
      </w:tr>
      <w:tr>
        <w:tc>
          <w:tcPr>
            <w:tcW w:type="dxa" w:w="1814"/>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b/>
                <w:color w:val="112332"/>
                <w:sz w:val="15"/>
              </w:rPr>
              <w:t>Financial / operational</w:t>
            </w:r>
          </w:p>
        </w:tc>
        <w:tc>
          <w:tcPr>
            <w:tcW w:type="dxa" w:w="4025"/>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Can the option be funded, delivered and maintained?</w:t>
            </w:r>
          </w:p>
        </w:tc>
        <w:tc>
          <w:tcPr>
            <w:tcW w:type="dxa" w:w="3572"/>
            <w:shd w:fill="F7FBFD"/>
            <w:tcBorders>
              <w:top w:val="single" w:sz="3" w:color="CFE2EB"/>
              <w:left w:val="single" w:sz="3" w:color="CFE2EB"/>
              <w:bottom w:val="single" w:sz="3" w:color="CFE2EB"/>
              <w:right w:val="single" w:sz="3" w:color="CFE2EB"/>
              <w:insideH w:val="single" w:sz="3" w:color="CFE2EB"/>
              <w:insideV w:val="single" w:sz="3" w:color="CFE2EB"/>
            </w:tcBorders>
          </w:tcPr>
          <w:p>
            <w:pPr>
              <w:spacing w:after="0"/>
            </w:pPr>
            <w:r>
              <w:rPr>
                <w:color w:val="567080"/>
                <w:sz w:val="15"/>
              </w:rPr>
              <w:t>Budget, costs, risks, leakage, capacity and time-bound capture.</w:t>
            </w:r>
          </w:p>
        </w:tc>
      </w:tr>
    </w:tbl>
    <w:p>
      <w:pPr>
        <w:spacing w:after="0"/>
      </w:pPr>
    </w:p>
    <w:p>
      <w:r>
        <w:t>The first three lenses form LUMEN’s triple decision materiality. Financial and impact materiality retain their established roles in corporate reporting. The categories should be linked, not legally conflated.</w:t>
      </w:r>
    </w:p>
    <w:tbl>
      <w:tblPr>
        <w:tblW w:type="auto" w:w="0"/>
        <w:tblLayout w:type="fixed"/>
        <w:tblLook w:firstColumn="1" w:firstRow="1" w:lastColumn="0" w:lastRow="0" w:noHBand="0" w:noVBand="1" w:val="04A0"/>
      </w:tblPr>
      <w:tblGrid>
        <w:gridCol w:w="125"/>
        <w:gridCol w:w="9524"/>
      </w:tblGrid>
      <w:tr>
        <w:tc>
          <w:tcPr>
            <w:tcW w:type="dxa" w:w="5185"/>
            <w:shd w:fill="006A9E"/>
            <w:tcBorders>
              <w:top w:val="single" w:sz="3" w:color="CFE2EB"/>
              <w:left w:val="single" w:sz="3" w:color="CFE2EB"/>
              <w:bottom w:val="single" w:sz="3" w:color="CFE2EB"/>
              <w:right w:val="single" w:sz="3" w:color="CFE2EB"/>
              <w:insideH w:val="single" w:sz="3" w:color="CFE2EB"/>
              <w:insideV w:val="single" w:sz="3" w:color="CFE2EB"/>
            </w:tcBorders>
            <w:vAlign w:val="center"/>
          </w:tcPr>
          <w:p/>
        </w:tc>
        <w:tc>
          <w:tcPr>
            <w:tcW w:type="dxa" w:w="5185"/>
            <w:shd w:fill="F7FBFD"/>
            <w:tcBorders>
              <w:top w:val="single" w:sz="3" w:color="CFE2EB"/>
              <w:left w:val="single" w:sz="3" w:color="CFE2EB"/>
              <w:bottom w:val="single" w:sz="3" w:color="CFE2EB"/>
              <w:right w:val="single" w:sz="3" w:color="CFE2EB"/>
              <w:insideH w:val="single" w:sz="3" w:color="CFE2EB"/>
              <w:insideV w:val="single" w:sz="3" w:color="CFE2EB"/>
            </w:tcBorders>
            <w:vAlign w:val="center"/>
          </w:tcPr>
          <w:p>
            <w:pPr>
              <w:spacing w:after="60"/>
            </w:pPr>
            <w:r>
              <w:rPr>
                <w:b/>
                <w:color w:val="006A9E"/>
                <w:sz w:val="15"/>
              </w:rPr>
              <w:t>LEGITIMACY</w:t>
            </w:r>
          </w:p>
          <w:p>
            <w:pPr>
              <w:spacing w:after="0"/>
            </w:pPr>
            <w:r>
              <w:rPr>
                <w:sz w:val="17"/>
              </w:rPr>
              <w:t>Evidence can be accurate yet politically unusable; authority can be lawful yet socially unsupported. Triple legitimacy makes these failure modes visible.</w:t>
            </w:r>
          </w:p>
        </w:tc>
      </w:tr>
    </w:tbl>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PILOT AND DEMONSTRATOR</w:t>
      </w:r>
    </w:p>
    <w:p>
      <w:pPr>
        <w:pStyle w:val="Heading1"/>
      </w:pPr>
      <w:r>
        <w:t>Test sovereignty–cooperation decisions in public</w:t>
      </w:r>
    </w:p>
    <w:p>
      <w:pPr>
        <w:pStyle w:val="ListNumber"/>
        <w:spacing w:after="60"/>
        <w:ind w:left="283" w:hanging="113"/>
      </w:pPr>
      <w:r>
        <w:t>Select one cross-border policy with clear national benefits and spillovers.</w:t>
      </w:r>
    </w:p>
    <w:p>
      <w:pPr>
        <w:pStyle w:val="ListNumber"/>
        <w:spacing w:after="60"/>
        <w:ind w:left="283" w:hanging="113"/>
      </w:pPr>
      <w:r>
        <w:t>Publish the applicable legal map and distinguish binding floors from guiding commitments.</w:t>
      </w:r>
    </w:p>
    <w:p>
      <w:pPr>
        <w:pStyle w:val="ListNumber"/>
        <w:spacing w:after="60"/>
        <w:ind w:left="283" w:hanging="113"/>
      </w:pPr>
      <w:r>
        <w:t>Assess scientific viability, national priorities and affected communities’ experience.</w:t>
      </w:r>
    </w:p>
    <w:p>
      <w:pPr>
        <w:pStyle w:val="ListNumber"/>
        <w:spacing w:after="60"/>
        <w:ind w:left="283" w:hanging="113"/>
      </w:pPr>
      <w:r>
        <w:t>Model at least three options, including a baseline, with uncertainty and distribution.</w:t>
      </w:r>
    </w:p>
    <w:p>
      <w:pPr>
        <w:pStyle w:val="ListNumber"/>
        <w:spacing w:after="60"/>
        <w:ind w:left="283" w:hanging="113"/>
      </w:pPr>
      <w:r>
        <w:t>Publish the decision rationale, dissent, budget and review date.</w:t>
      </w:r>
    </w:p>
    <w:p>
      <w:pPr>
        <w:pStyle w:val="ListNumber"/>
        <w:spacing w:after="60"/>
        <w:ind w:left="283" w:hanging="113"/>
      </w:pPr>
      <w:r>
        <w:t>Evaluate whether the process improved trust, coherence, speed and results.</w:t>
      </w:r>
    </w:p>
    <w:p>
      <w:r>
        <w:t>The accompanying interactive demonstrator shows this logic with fictional inputs. It intentionally blocks aggregation when scientific or legal floors fail. It is not an eligibility tool or an official statistical product.</w:t>
      </w:r>
    </w:p>
    <w:p>
      <w:pPr>
        <w:spacing w:after="60"/>
        <w:jc w:val="center"/>
      </w:pPr>
      <w:r>
        <w:drawing>
          <wp:inline xmlns:a="http://schemas.openxmlformats.org/drawingml/2006/main" xmlns:pic="http://schemas.openxmlformats.org/drawingml/2006/picture">
            <wp:extent cx="4968000" cy="4341181"/>
            <wp:docPr id="3" name="Picture 3"/>
            <wp:cNvGraphicFramePr>
              <a:graphicFrameLocks noChangeAspect="1"/>
            </wp:cNvGraphicFramePr>
            <a:graphic>
              <a:graphicData uri="http://schemas.openxmlformats.org/drawingml/2006/picture">
                <pic:pic>
                  <pic:nvPicPr>
                    <pic:cNvPr id="0" name="lumen_full_architecture.png"/>
                    <pic:cNvPicPr/>
                  </pic:nvPicPr>
                  <pic:blipFill>
                    <a:blip r:embed="rId14"/>
                    <a:stretch>
                      <a:fillRect/>
                    </a:stretch>
                  </pic:blipFill>
                  <pic:spPr>
                    <a:xfrm>
                      <a:off x="0" y="0"/>
                      <a:ext cx="4968000" cy="4341181"/>
                    </a:xfrm>
                    <a:prstGeom prst="rect"/>
                  </pic:spPr>
                </pic:pic>
              </a:graphicData>
            </a:graphic>
          </wp:inline>
        </w:drawing>
      </w:r>
    </w:p>
    <w:p>
      <w:r>
        <w:br w:type="page"/>
      </w:r>
    </w:p>
    <w:tbl>
      <w:tblPr>
        <w:tblW w:type="auto" w:w="0"/>
        <w:jc w:val="center"/>
        <w:tblLook w:firstColumn="1" w:firstRow="1" w:lastColumn="0" w:lastRow="0" w:noHBand="0" w:noVBand="1" w:val="04A0"/>
      </w:tblPr>
      <w:tblGrid>
        <w:gridCol w:w="3457"/>
        <w:gridCol w:w="3457"/>
        <w:gridCol w:w="3457"/>
      </w:tblGrid>
      <w:tr>
        <w:trPr>
          <w:trHeight w:val="74"/>
        </w:trPr>
        <w:tc>
          <w:tcPr>
            <w:tcW w:type="dxa" w:w="2551"/>
            <w:shd w:fill="0087C8"/>
            <w:tcBorders>
              <w:top w:val="single" w:sz="0" w:color="0087C8"/>
              <w:left w:val="single" w:sz="0" w:color="0087C8"/>
              <w:bottom w:val="single" w:sz="0" w:color="0087C8"/>
              <w:right w:val="single" w:sz="0" w:color="0087C8"/>
              <w:insideH w:val="single" w:sz="0" w:color="0087C8"/>
              <w:insideV w:val="single" w:sz="0" w:color="0087C8"/>
            </w:tcBorders>
          </w:tcPr>
          <w:p>
            <w:pPr>
              <w:spacing w:after="0"/>
            </w:pPr>
          </w:p>
        </w:tc>
        <w:tc>
          <w:tcPr>
            <w:tcW w:type="dxa" w:w="1417"/>
            <w:shd w:fill="64D3E8"/>
            <w:tcBorders>
              <w:top w:val="single" w:sz="0" w:color="64D3E8"/>
              <w:left w:val="single" w:sz="0" w:color="64D3E8"/>
              <w:bottom w:val="single" w:sz="0" w:color="64D3E8"/>
              <w:right w:val="single" w:sz="0" w:color="64D3E8"/>
              <w:insideH w:val="single" w:sz="0" w:color="64D3E8"/>
              <w:insideV w:val="single" w:sz="0" w:color="64D3E8"/>
            </w:tcBorders>
          </w:tcPr>
          <w:p>
            <w:pPr>
              <w:spacing w:after="0"/>
            </w:pPr>
          </w:p>
        </w:tc>
        <w:tc>
          <w:tcPr>
            <w:tcW w:type="dxa" w:w="1701"/>
            <w:shd w:fill="112332"/>
            <w:tcBorders>
              <w:top w:val="single" w:sz="0" w:color="112332"/>
              <w:left w:val="single" w:sz="0" w:color="112332"/>
              <w:bottom w:val="single" w:sz="0" w:color="112332"/>
              <w:right w:val="single" w:sz="0" w:color="112332"/>
              <w:insideH w:val="single" w:sz="0" w:color="112332"/>
              <w:insideV w:val="single" w:sz="0" w:color="112332"/>
            </w:tcBorders>
          </w:tcPr>
          <w:p>
            <w:pPr>
              <w:spacing w:after="0"/>
            </w:pPr>
          </w:p>
        </w:tc>
      </w:tr>
    </w:tbl>
    <w:p>
      <w:pPr>
        <w:spacing w:before="40" w:after="100"/>
      </w:pPr>
      <w:r>
        <w:rPr>
          <w:b/>
          <w:color w:val="006A9E"/>
          <w:sz w:val="15"/>
        </w:rPr>
        <w:t>RECOMMENDATIONS AND SOURCES</w:t>
      </w:r>
    </w:p>
    <w:p>
      <w:pPr>
        <w:pStyle w:val="Heading1"/>
      </w:pPr>
      <w:r>
        <w:t>What the elements paper should retain</w:t>
      </w:r>
    </w:p>
    <w:p>
      <w:pPr>
        <w:pStyle w:val="ListBullet"/>
        <w:spacing w:after="80"/>
        <w:ind w:left="255" w:hanging="113"/>
      </w:pPr>
      <w:r>
        <w:t>Anchor the vision in equitable, inclusive and sustainable human and planetary well-being.</w:t>
      </w:r>
    </w:p>
    <w:p>
      <w:pPr>
        <w:pStyle w:val="ListBullet"/>
        <w:spacing w:after="80"/>
        <w:ind w:left="255" w:hanging="113"/>
      </w:pPr>
      <w:r>
        <w:t>Recognise national ownership and policy space as design requirements, not exceptions.</w:t>
      </w:r>
    </w:p>
    <w:p>
      <w:pPr>
        <w:pStyle w:val="ListBullet"/>
        <w:spacing w:after="80"/>
        <w:ind w:left="255" w:hanging="113"/>
      </w:pPr>
      <w:r>
        <w:t>Define scientific, legal and rights-based floors before aggregation.</w:t>
      </w:r>
    </w:p>
    <w:p>
      <w:pPr>
        <w:pStyle w:val="ListBullet"/>
        <w:spacing w:after="80"/>
        <w:ind w:left="255" w:hanging="113"/>
      </w:pPr>
      <w:r>
        <w:t>Require transparent normative profiles rather than fixed global weights.</w:t>
      </w:r>
    </w:p>
    <w:p>
      <w:pPr>
        <w:pStyle w:val="ListBullet"/>
        <w:spacing w:after="80"/>
        <w:ind w:left="255" w:hanging="113"/>
      </w:pPr>
      <w:r>
        <w:t>Treat distributed intelligence and participation as safeguards against centralised technocracy.</w:t>
      </w:r>
    </w:p>
    <w:p>
      <w:pPr>
        <w:pStyle w:val="ListBullet"/>
        <w:spacing w:after="80"/>
        <w:ind w:left="255" w:hanging="113"/>
      </w:pPr>
      <w:r>
        <w:t>Pilot the approach before it influences financing, eligibility or comparative assessment.</w:t>
      </w:r>
    </w:p>
    <w:p>
      <w:pPr>
        <w:pStyle w:val="Heading2"/>
      </w:pPr>
      <w:r>
        <w:t>Selected references</w:t>
      </w:r>
    </w:p>
    <w:p>
      <w:pPr>
        <w:spacing w:after="40"/>
        <w:ind w:left="227" w:hanging="227"/>
      </w:pPr>
      <w:r>
        <w:rPr>
          <w:b/>
          <w:color w:val="006A9E"/>
          <w:sz w:val="14"/>
        </w:rPr>
        <w:t xml:space="preserve">[1] </w:t>
      </w:r>
      <w:r>
        <w:rPr>
          <w:sz w:val="14"/>
        </w:rPr>
        <w:t xml:space="preserve">United Nations, Beyond GDP consultation and call for inputs (2026). </w:t>
      </w:r>
      <w:hyperlink r:id="rId15">
        <w:r>
          <w:rPr>
            <w:color w:val="006A9E"/>
            <w:u w:val="single"/>
          </w:rPr>
          <w:t>https://www.un.org/en/beyondGDP/consultations</w:t>
        </w:r>
      </w:hyperlink>
    </w:p>
    <w:p>
      <w:pPr>
        <w:spacing w:after="40"/>
        <w:ind w:left="227" w:hanging="227"/>
      </w:pPr>
      <w:r>
        <w:rPr>
          <w:b/>
          <w:color w:val="006A9E"/>
          <w:sz w:val="14"/>
        </w:rPr>
        <w:t xml:space="preserve">[2] </w:t>
      </w:r>
      <w:r>
        <w:rPr>
          <w:sz w:val="14"/>
        </w:rPr>
        <w:t xml:space="preserve">UN Secretary-General’s Independent High-Level Expert Group, Counting What Counts: A Compass of Progress for People and Planet (2026). </w:t>
      </w:r>
      <w:hyperlink r:id="rId16">
        <w:r>
          <w:rPr>
            <w:color w:val="006A9E"/>
            <w:u w:val="single"/>
          </w:rPr>
          <w:t>https://www.un.org/sites/un2.un.org/files/high-level_expert_group_on_beyond_gdp_final_report.pdf</w:t>
        </w:r>
      </w:hyperlink>
    </w:p>
    <w:p>
      <w:pPr>
        <w:spacing w:after="40"/>
        <w:ind w:left="227" w:hanging="227"/>
      </w:pPr>
      <w:r>
        <w:rPr>
          <w:b/>
          <w:color w:val="006A9E"/>
          <w:sz w:val="14"/>
        </w:rPr>
        <w:t xml:space="preserve">[3] </w:t>
      </w:r>
      <w:r>
        <w:rPr>
          <w:sz w:val="14"/>
        </w:rPr>
        <w:t xml:space="preserve">United Nations, Beyond GDP consultation — guiding questions (2026). </w:t>
      </w:r>
      <w:hyperlink r:id="rId17">
        <w:r>
          <w:rPr>
            <w:color w:val="006A9E"/>
            <w:u w:val="single"/>
          </w:rPr>
          <w:t>https://www.un.org/sites/un2.un.org/files/fin-guiding_questions_for_the_intergovernmental_process_on_beyond_gdp.docx</w:t>
        </w:r>
      </w:hyperlink>
    </w:p>
    <w:p>
      <w:pPr>
        <w:spacing w:after="40"/>
        <w:ind w:left="227" w:hanging="227"/>
      </w:pPr>
      <w:r>
        <w:rPr>
          <w:b/>
          <w:color w:val="006A9E"/>
          <w:sz w:val="14"/>
        </w:rPr>
        <w:t xml:space="preserve">[4] </w:t>
      </w:r>
      <w:r>
        <w:rPr>
          <w:sz w:val="14"/>
        </w:rPr>
        <w:t xml:space="preserve">United Nations, Pact for the Future, Action 53(a). </w:t>
      </w:r>
      <w:hyperlink r:id="rId18">
        <w:r>
          <w:rPr>
            <w:color w:val="006A9E"/>
            <w:u w:val="single"/>
          </w:rPr>
          <w:t>https://www.un.org/pact-for-the-future/en/action-53a</w:t>
        </w:r>
      </w:hyperlink>
    </w:p>
    <w:p>
      <w:pPr>
        <w:spacing w:after="40"/>
        <w:ind w:left="227" w:hanging="227"/>
      </w:pPr>
      <w:r>
        <w:rPr>
          <w:b/>
          <w:color w:val="006A9E"/>
          <w:sz w:val="14"/>
        </w:rPr>
        <w:t xml:space="preserve">[6] </w:t>
      </w:r>
      <w:r>
        <w:rPr>
          <w:sz w:val="14"/>
        </w:rPr>
        <w:t xml:space="preserve">United Nations, Multidimensional Vulnerability Index: Final Report (2024). </w:t>
      </w:r>
      <w:hyperlink r:id="rId19">
        <w:r>
          <w:rPr>
            <w:color w:val="006A9E"/>
            <w:u w:val="single"/>
          </w:rPr>
          <w:t>https://sdgs.un.org/sites/default/files/2024-02/Final_MVI_report.pdf</w:t>
        </w:r>
      </w:hyperlink>
    </w:p>
    <w:p>
      <w:pPr>
        <w:spacing w:after="40"/>
        <w:ind w:left="227" w:hanging="227"/>
      </w:pPr>
      <w:r>
        <w:rPr>
          <w:b/>
          <w:color w:val="006A9E"/>
          <w:sz w:val="14"/>
        </w:rPr>
        <w:t xml:space="preserve">[7] </w:t>
      </w:r>
      <w:r>
        <w:rPr>
          <w:sz w:val="14"/>
        </w:rPr>
        <w:t xml:space="preserve">Fourth International Conference on Financing for Development, Sevilla Commitment (2025). </w:t>
      </w:r>
      <w:hyperlink r:id="rId20">
        <w:r>
          <w:rPr>
            <w:color w:val="006A9E"/>
            <w:u w:val="single"/>
          </w:rPr>
          <w:t>https://financing.desa.un.org/sites/default/files/2025-08/FFD4%20Outcome%20Booklet%20v4_EN%20-%20spread.pdf</w:t>
        </w:r>
      </w:hyperlink>
    </w:p>
    <w:p>
      <w:pPr>
        <w:spacing w:after="40"/>
        <w:ind w:left="227" w:hanging="227"/>
      </w:pPr>
      <w:r>
        <w:rPr>
          <w:b/>
          <w:color w:val="006A9E"/>
          <w:sz w:val="14"/>
        </w:rPr>
        <w:t xml:space="preserve">[11] </w:t>
      </w:r>
      <w:r>
        <w:rPr>
          <w:sz w:val="14"/>
        </w:rPr>
        <w:t xml:space="preserve">Richardson et al., Earth beyond six of nine planetary boundaries, Science Advances 9 (2023). </w:t>
      </w:r>
      <w:hyperlink r:id="rId21">
        <w:r>
          <w:rPr>
            <w:color w:val="006A9E"/>
            <w:u w:val="single"/>
          </w:rPr>
          <w:t>https://www.science.org/doi/10.1126/sciadv.adh2458</w:t>
        </w:r>
      </w:hyperlink>
    </w:p>
    <w:p>
      <w:pPr>
        <w:spacing w:after="40"/>
        <w:ind w:left="227" w:hanging="227"/>
      </w:pPr>
      <w:r>
        <w:rPr>
          <w:b/>
          <w:color w:val="006A9E"/>
          <w:sz w:val="14"/>
        </w:rPr>
        <w:t xml:space="preserve">[14] </w:t>
      </w:r>
      <w:r>
        <w:rPr>
          <w:sz w:val="14"/>
        </w:rPr>
        <w:t xml:space="preserve">Heylighen and Lenartowicz, The Global Brain as a model of the future information society, Technological Forecasting and Social Change 114 (2017). </w:t>
      </w:r>
      <w:hyperlink r:id="rId22">
        <w:r>
          <w:rPr>
            <w:color w:val="006A9E"/>
            <w:u w:val="single"/>
          </w:rPr>
          <w:t>https://pespmc1.vub.ac.be/Papers/TFSC-intro.pdf</w:t>
        </w:r>
      </w:hyperlink>
    </w:p>
    <w:p>
      <w:pPr>
        <w:spacing w:after="40"/>
        <w:ind w:left="227" w:hanging="227"/>
      </w:pPr>
      <w:r>
        <w:rPr>
          <w:b/>
          <w:color w:val="006A9E"/>
          <w:sz w:val="14"/>
        </w:rPr>
        <w:t xml:space="preserve">[15] </w:t>
      </w:r>
      <w:r>
        <w:rPr>
          <w:sz w:val="14"/>
        </w:rPr>
        <w:t xml:space="preserve">European Commission, ESRS 1 General Requirements, Delegated Regulation (EU) 2023/2772. </w:t>
      </w:r>
      <w:hyperlink r:id="rId23">
        <w:r>
          <w:rPr>
            <w:color w:val="006A9E"/>
            <w:u w:val="single"/>
          </w:rPr>
          <w:t>https://eur-lex.europa.eu/eli/reg_del/2023/2772/oj/eng</w:t>
        </w:r>
      </w:hyperlink>
    </w:p>
    <w:sectPr w:rsidR="00FC693F" w:rsidRPr="0006063C" w:rsidSect="00034616">
      <w:headerReference w:type="default" r:id="rId9"/>
      <w:footerReference w:type="default" r:id="rId10"/>
      <w:pgSz w:w="12240" w:h="15840"/>
      <w:pgMar w:top="879" w:right="935" w:bottom="765" w:left="935"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3456"/>
      <w:gridCol w:w="3168"/>
      <w:gridCol w:w="3456"/>
    </w:tblGrid>
    <w:tr>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r>
            <w:rPr>
              <w:color w:val="567080"/>
              <w:sz w:val="14"/>
            </w:rPr>
            <w:t>CCOP · Beyond GDP</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center"/>
          </w:pPr>
          <w:r>
            <w:rPr>
              <w:color w:val="567080"/>
              <w:sz w:val="14"/>
            </w:rPr>
            <w:t>July 2026</w:t>
          </w:r>
        </w:p>
      </w:tc>
      <w:tc>
        <w:tcPr>
          <w:tcW w:type="dxa" w:w="336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4"/>
            </w:rPr>
            <w:t xml:space="preserve">Page </w:t>
            <w:fldChar w:fldCharType="begin"/>
            <w:instrText xml:space="preserve">PAGE</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5040"/>
      <w:gridCol w:w="5040"/>
    </w:tblGrid>
    <w:tr>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r>
            <w:rPr>
              <w:b/>
              <w:color w:val="0087C8"/>
              <w:sz w:val="18"/>
            </w:rPr>
            <w:t>LUMEN</w:t>
          </w:r>
        </w:p>
      </w:tc>
      <w:tc>
        <w:tcPr>
          <w:tcW w:type="dxa" w:w="5040"/>
          <w:tcBorders>
            <w:top w:val="single" w:sz="0" w:color="FFFFFF"/>
            <w:left w:val="single" w:sz="0" w:color="FFFFFF"/>
            <w:bottom w:val="single" w:sz="0" w:color="FFFFFF"/>
            <w:right w:val="single" w:sz="0" w:color="FFFFFF"/>
            <w:insideH w:val="single" w:sz="0" w:color="FFFFFF"/>
            <w:insideV w:val="single" w:sz="0" w:color="FFFFFF"/>
          </w:tcBorders>
        </w:tcPr>
        <w:p>
          <w:pPr>
            <w:jc w:val="right"/>
          </w:pPr>
          <w:r>
            <w:rPr>
              <w:color w:val="567080"/>
              <w:sz w:val="15"/>
            </w:rPr>
            <w:t>Technical brief 1 · Political vision</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Arial" w:hAnsi="Arial"/>
      <w:color w:val="112332"/>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0" w:after="180"/>
      <w:outlineLvl w:val="0"/>
    </w:pPr>
    <w:rPr>
      <w:rFonts w:asciiTheme="majorHAnsi" w:eastAsiaTheme="majorEastAsia" w:hAnsiTheme="majorHAnsi" w:cstheme="majorBidi" w:ascii="Arial" w:hAnsi="Arial"/>
      <w:b/>
      <w:bCs/>
      <w:color w:val="112332"/>
      <w:sz w:val="42"/>
      <w:szCs w:val="28"/>
    </w:rPr>
  </w:style>
  <w:style w:type="paragraph" w:styleId="Heading2">
    <w:name w:val="heading 2"/>
    <w:basedOn w:val="Normal"/>
    <w:next w:val="Normal"/>
    <w:link w:val="Heading2Char"/>
    <w:uiPriority w:val="9"/>
    <w:unhideWhenUsed/>
    <w:qFormat/>
    <w:rsid w:val="00FC693F"/>
    <w:pPr>
      <w:keepNext/>
      <w:keepLines/>
      <w:spacing w:before="140" w:after="100"/>
      <w:outlineLvl w:val="1"/>
    </w:pPr>
    <w:rPr>
      <w:rFonts w:asciiTheme="majorHAnsi" w:eastAsiaTheme="majorEastAsia" w:hAnsiTheme="majorHAnsi" w:cstheme="majorBidi" w:ascii="Arial" w:hAnsi="Arial"/>
      <w:b/>
      <w:bCs/>
      <w:color w:val="006A9E"/>
      <w:sz w:val="27"/>
      <w:szCs w:val="26"/>
    </w:rPr>
  </w:style>
  <w:style w:type="paragraph" w:styleId="Heading3">
    <w:name w:val="heading 3"/>
    <w:basedOn w:val="Normal"/>
    <w:next w:val="Normal"/>
    <w:link w:val="Heading3Char"/>
    <w:uiPriority w:val="9"/>
    <w:unhideWhenUsed/>
    <w:qFormat/>
    <w:rsid w:val="00FC693F"/>
    <w:pPr>
      <w:keepNext/>
      <w:keepLines/>
      <w:spacing w:before="100" w:after="60"/>
      <w:outlineLvl w:val="2"/>
    </w:pPr>
    <w:rPr>
      <w:rFonts w:asciiTheme="majorHAnsi" w:eastAsiaTheme="majorEastAsia" w:hAnsiTheme="majorHAnsi" w:cstheme="majorBidi" w:ascii="Arial" w:hAnsi="Arial"/>
      <w:b/>
      <w:bCs/>
      <w:color w:val="112332"/>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rial" w:hAnsi="Arial"/>
      <w:b/>
      <w:color w:val="112332"/>
      <w:spacing w:val="5"/>
      <w:kern w:val="28"/>
      <w:sz w:val="6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280"/>
    </w:pPr>
    <w:rPr>
      <w:rFonts w:asciiTheme="majorHAnsi" w:eastAsiaTheme="majorEastAsia" w:hAnsiTheme="majorHAnsi" w:cstheme="majorBidi" w:ascii="Arial" w:hAnsi="Arial"/>
      <w:b w:val="0"/>
      <w:i/>
      <w:iCs/>
      <w:color w:val="567080"/>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s://ccop.world/data/files/un/lumen_beyondgdp.html" TargetMode="External"/><Relationship Id="rId12" Type="http://schemas.openxmlformats.org/officeDocument/2006/relationships/image" Target="media/image1.png"/><Relationship Id="rId13" Type="http://schemas.openxmlformats.org/officeDocument/2006/relationships/image" Target="media/image2.png"/><Relationship Id="rId14" Type="http://schemas.openxmlformats.org/officeDocument/2006/relationships/image" Target="media/image3.png"/><Relationship Id="rId15" Type="http://schemas.openxmlformats.org/officeDocument/2006/relationships/hyperlink" Target="https://www.un.org/en/beyondGDP/consultations" TargetMode="External"/><Relationship Id="rId16" Type="http://schemas.openxmlformats.org/officeDocument/2006/relationships/hyperlink" Target="https://www.un.org/sites/un2.un.org/files/high-level_expert_group_on_beyond_gdp_final_report.pdf" TargetMode="External"/><Relationship Id="rId17" Type="http://schemas.openxmlformats.org/officeDocument/2006/relationships/hyperlink" Target="https://www.un.org/sites/un2.un.org/files/fin-guiding_questions_for_the_intergovernmental_process_on_beyond_gdp.docx" TargetMode="External"/><Relationship Id="rId18" Type="http://schemas.openxmlformats.org/officeDocument/2006/relationships/hyperlink" Target="https://www.un.org/pact-for-the-future/en/action-53a" TargetMode="External"/><Relationship Id="rId19" Type="http://schemas.openxmlformats.org/officeDocument/2006/relationships/hyperlink" Target="https://sdgs.un.org/sites/default/files/2024-02/Final_MVI_report.pdf" TargetMode="External"/><Relationship Id="rId20" Type="http://schemas.openxmlformats.org/officeDocument/2006/relationships/hyperlink" Target="https://financing.desa.un.org/sites/default/files/2025-08/FFD4%20Outcome%20Booklet%20v4_EN%20-%20spread.pdf" TargetMode="External"/><Relationship Id="rId21" Type="http://schemas.openxmlformats.org/officeDocument/2006/relationships/hyperlink" Target="https://www.science.org/doi/10.1126/sciadv.adh2458" TargetMode="External"/><Relationship Id="rId22" Type="http://schemas.openxmlformats.org/officeDocument/2006/relationships/hyperlink" Target="https://pespmc1.vub.ac.be/Papers/TFSC-intro.pdf" TargetMode="External"/><Relationship Id="rId23" Type="http://schemas.openxmlformats.org/officeDocument/2006/relationships/hyperlink" Target="https://eur-lex.europa.eu/eli/reg_del/2023/2772/oj/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