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457"/>
        <w:gridCol w:w="3457"/>
        <w:gridCol w:w="3457"/>
      </w:tblGrid>
      <w:tr>
        <w:trPr>
          <w:trHeight w:val="74"/>
        </w:trPr>
        <w:tc>
          <w:tcPr>
            <w:tcW w:type="dxa" w:w="2551"/>
            <w:shd w:fill="0087C8"/>
            <w:tcBorders>
              <w:top w:val="single" w:sz="0" w:color="0087C8"/>
              <w:left w:val="single" w:sz="0" w:color="0087C8"/>
              <w:bottom w:val="single" w:sz="0" w:color="0087C8"/>
              <w:right w:val="single" w:sz="0" w:color="0087C8"/>
              <w:insideH w:val="single" w:sz="0" w:color="0087C8"/>
              <w:insideV w:val="single" w:sz="0" w:color="0087C8"/>
            </w:tcBorders>
          </w:tcPr>
          <w:p>
            <w:pPr>
              <w:spacing w:after="0"/>
            </w:pPr>
          </w:p>
        </w:tc>
        <w:tc>
          <w:tcPr>
            <w:tcW w:type="dxa" w:w="1417"/>
            <w:shd w:fill="64D3E8"/>
            <w:tcBorders>
              <w:top w:val="single" w:sz="0" w:color="64D3E8"/>
              <w:left w:val="single" w:sz="0" w:color="64D3E8"/>
              <w:bottom w:val="single" w:sz="0" w:color="64D3E8"/>
              <w:right w:val="single" w:sz="0" w:color="64D3E8"/>
              <w:insideH w:val="single" w:sz="0" w:color="64D3E8"/>
              <w:insideV w:val="single" w:sz="0" w:color="64D3E8"/>
            </w:tcBorders>
          </w:tcPr>
          <w:p>
            <w:pPr>
              <w:spacing w:after="0"/>
            </w:pPr>
          </w:p>
        </w:tc>
        <w:tc>
          <w:tcPr>
            <w:tcW w:type="dxa" w:w="1701"/>
            <w:shd w:fill="112332"/>
            <w:tcBorders>
              <w:top w:val="single" w:sz="0" w:color="112332"/>
              <w:left w:val="single" w:sz="0" w:color="112332"/>
              <w:bottom w:val="single" w:sz="0" w:color="112332"/>
              <w:right w:val="single" w:sz="0" w:color="112332"/>
              <w:insideH w:val="single" w:sz="0" w:color="112332"/>
              <w:insideV w:val="single" w:sz="0" w:color="112332"/>
            </w:tcBorders>
          </w:tcPr>
          <w:p>
            <w:pPr>
              <w:spacing w:after="0"/>
            </w:pPr>
          </w:p>
        </w:tc>
      </w:tr>
    </w:tbl>
    <w:p>
      <w:pPr>
        <w:spacing w:after="760"/>
      </w:pPr>
    </w:p>
    <w:p>
      <w:pPr>
        <w:spacing w:before="40" w:after="100"/>
      </w:pPr>
      <w:r>
        <w:rPr>
          <w:b/>
          <w:color w:val="006A9E"/>
          <w:sz w:val="15"/>
        </w:rPr>
        <w:t>LUMEN TECHNICAL BRIEF 3</w:t>
      </w:r>
    </w:p>
    <w:p>
      <w:pPr>
        <w:pStyle w:val="Title"/>
      </w:pPr>
      <w:r>
        <w:t>National implementation</w:t>
      </w:r>
    </w:p>
    <w:p>
      <w:pPr>
        <w:pStyle w:val="Subtitle"/>
      </w:pPr>
      <w:r>
        <w:t>A country-owned route from dashboard to budget, delivery and learning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25"/>
        <w:gridCol w:w="9524"/>
      </w:tblGrid>
      <w:tr>
        <w:tc>
          <w:tcPr>
            <w:tcW w:type="dxa" w:w="5185"/>
            <w:shd w:fill="006A9E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  <w:vAlign w:val="center"/>
          </w:tcPr>
          <w:p/>
        </w:tc>
        <w:tc>
          <w:tcPr>
            <w:tcW w:type="dxa" w:w="5185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  <w:vAlign w:val="center"/>
          </w:tcPr>
          <w:p>
            <w:pPr>
              <w:spacing w:after="60"/>
            </w:pPr>
            <w:r>
              <w:rPr>
                <w:b/>
                <w:color w:val="006A9E"/>
                <w:sz w:val="15"/>
              </w:rPr>
              <w:t>TECHNICAL BRIEF</w:t>
            </w:r>
          </w:p>
          <w:p>
            <w:pPr>
              <w:spacing w:after="0"/>
            </w:pPr>
            <w:r>
              <w:rPr>
                <w:sz w:val="17"/>
              </w:rPr>
              <w:t>Prepared for the United Nations Beyond GDP consultation · 11 pages · English contribution</w:t>
            </w:r>
          </w:p>
        </w:tc>
      </w:tr>
    </w:tbl>
    <w:p>
      <w:pPr>
        <w:spacing w:after="40"/>
      </w:pP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59"/>
        <w:gridCol w:w="9479"/>
      </w:tblGrid>
      <w:tr>
        <w:tc>
          <w:tcPr>
            <w:tcW w:type="dxa" w:w="5185"/>
            <w:shd w:fill="64D3E8"/>
            <w:tcBorders>
              <w:top w:val="single" w:sz="5" w:color="64D3E8"/>
              <w:left w:val="single" w:sz="5" w:color="64D3E8"/>
              <w:bottom w:val="single" w:sz="5" w:color="64D3E8"/>
              <w:right w:val="single" w:sz="5" w:color="64D3E8"/>
              <w:insideH w:val="single" w:sz="5" w:color="64D3E8"/>
              <w:insideV w:val="single" w:sz="5" w:color="64D3E8"/>
            </w:tcBorders>
            <w:vAlign w:val="center"/>
          </w:tcPr>
          <w:p/>
        </w:tc>
        <w:tc>
          <w:tcPr>
            <w:tcW w:type="dxa" w:w="5185"/>
            <w:shd w:fill="F7FBFD"/>
            <w:tcBorders>
              <w:top w:val="single" w:sz="5" w:color="64D3E8"/>
              <w:left w:val="single" w:sz="5" w:color="64D3E8"/>
              <w:bottom w:val="single" w:sz="5" w:color="64D3E8"/>
              <w:right w:val="single" w:sz="5" w:color="64D3E8"/>
              <w:insideH w:val="single" w:sz="5" w:color="64D3E8"/>
              <w:insideV w:val="single" w:sz="5" w:color="64D3E8"/>
            </w:tcBorders>
            <w:vAlign w:val="center"/>
          </w:tcPr>
          <w:p>
            <w:pPr>
              <w:spacing w:after="80"/>
            </w:pPr>
            <w:r>
              <w:rPr>
                <w:b/>
                <w:color w:val="006A9E"/>
                <w:sz w:val="19"/>
              </w:rPr>
              <w:t>EXPLORE THE INTERACTIVE DEMONSTRATORS</w:t>
            </w:r>
          </w:p>
          <w:p>
            <w:pPr>
              <w:spacing w:after="40"/>
            </w:pPr>
            <w:hyperlink r:id="rId11">
              <w:r>
                <w:rPr>
                  <w:color w:val="006A9E"/>
                  <w:u w:val="single"/>
                  <w:sz w:val="23"/>
                  <w:szCs w:val="23"/>
                </w:rPr>
                <w:t>https://ccop.world/data/files/un/lumen_beyondgdp.html</w:t>
              </w:r>
            </w:hyperlink>
          </w:p>
          <w:p>
            <w:pPr>
              <w:spacing w:after="0"/>
            </w:pPr>
            <w:r>
              <w:rPr>
                <w:color w:val="567080"/>
                <w:sz w:val="17"/>
              </w:rPr>
              <w:t>Live LUMEN minisite: architecture, OBI, NLPI, CEDI and implementation modules.</w:t>
            </w:r>
          </w:p>
        </w:tc>
      </w:tr>
    </w:tbl>
    <w:p>
      <w:pPr>
        <w:spacing w:after="880"/>
      </w:pP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85"/>
        <w:gridCol w:w="5185"/>
      </w:tblGrid>
      <w:tr>
        <w:tc>
          <w:tcPr>
            <w:tcW w:type="dxa" w:w="2381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567080"/>
                <w:sz w:val="15"/>
              </w:rPr>
              <w:t>SUBMITTED BY</w:t>
            </w:r>
          </w:p>
        </w:tc>
        <w:tc>
          <w:tcPr>
            <w:tcW w:type="dxa" w:w="6973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sz w:val="18"/>
              </w:rPr>
              <w:t>Citizen Conference Of Parties (CCOP)</w:t>
            </w:r>
          </w:p>
        </w:tc>
      </w:tr>
      <w:tr>
        <w:tc>
          <w:tcPr>
            <w:tcW w:type="dxa" w:w="2381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  <w:shd w:fill="F7FBFD"/>
          </w:tcPr>
          <w:p>
            <w:pPr>
              <w:spacing w:after="0"/>
            </w:pPr>
            <w:r>
              <w:rPr>
                <w:b/>
                <w:color w:val="567080"/>
                <w:sz w:val="15"/>
              </w:rPr>
              <w:t>AUTHOR</w:t>
            </w:r>
          </w:p>
        </w:tc>
        <w:tc>
          <w:tcPr>
            <w:tcW w:type="dxa" w:w="6973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  <w:shd w:fill="F7FBFD"/>
          </w:tcPr>
          <w:p>
            <w:pPr>
              <w:spacing w:after="0"/>
            </w:pPr>
            <w:r>
              <w:rPr>
                <w:b/>
                <w:sz w:val="18"/>
              </w:rPr>
              <w:t>Nicolas Gros de Seta</w:t>
            </w:r>
          </w:p>
        </w:tc>
      </w:tr>
      <w:tr>
        <w:tc>
          <w:tcPr>
            <w:tcW w:type="dxa" w:w="2381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567080"/>
                <w:sz w:val="15"/>
              </w:rPr>
              <w:t>PROGRAMME</w:t>
            </w:r>
          </w:p>
        </w:tc>
        <w:tc>
          <w:tcPr>
            <w:tcW w:type="dxa" w:w="6973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sz w:val="18"/>
              </w:rPr>
              <w:t>LUMEN</w:t>
            </w:r>
          </w:p>
        </w:tc>
      </w:tr>
    </w:tbl>
    <w:p/>
    <w:p>
      <w:pPr>
        <w:jc w:val="right"/>
      </w:pPr>
      <w:r>
        <w:rPr>
          <w:b/>
          <w:color w:val="006A9E"/>
          <w:sz w:val="20"/>
        </w:rPr>
        <w:t>July 2026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457"/>
        <w:gridCol w:w="3457"/>
        <w:gridCol w:w="3457"/>
      </w:tblGrid>
      <w:tr>
        <w:trPr>
          <w:trHeight w:val="74"/>
        </w:trPr>
        <w:tc>
          <w:tcPr>
            <w:tcW w:type="dxa" w:w="2551"/>
            <w:shd w:fill="0087C8"/>
            <w:tcBorders>
              <w:top w:val="single" w:sz="0" w:color="0087C8"/>
              <w:left w:val="single" w:sz="0" w:color="0087C8"/>
              <w:bottom w:val="single" w:sz="0" w:color="0087C8"/>
              <w:right w:val="single" w:sz="0" w:color="0087C8"/>
              <w:insideH w:val="single" w:sz="0" w:color="0087C8"/>
              <w:insideV w:val="single" w:sz="0" w:color="0087C8"/>
            </w:tcBorders>
          </w:tcPr>
          <w:p>
            <w:pPr>
              <w:spacing w:after="0"/>
            </w:pPr>
          </w:p>
        </w:tc>
        <w:tc>
          <w:tcPr>
            <w:tcW w:type="dxa" w:w="1417"/>
            <w:shd w:fill="64D3E8"/>
            <w:tcBorders>
              <w:top w:val="single" w:sz="0" w:color="64D3E8"/>
              <w:left w:val="single" w:sz="0" w:color="64D3E8"/>
              <w:bottom w:val="single" w:sz="0" w:color="64D3E8"/>
              <w:right w:val="single" w:sz="0" w:color="64D3E8"/>
              <w:insideH w:val="single" w:sz="0" w:color="64D3E8"/>
              <w:insideV w:val="single" w:sz="0" w:color="64D3E8"/>
            </w:tcBorders>
          </w:tcPr>
          <w:p>
            <w:pPr>
              <w:spacing w:after="0"/>
            </w:pPr>
          </w:p>
        </w:tc>
        <w:tc>
          <w:tcPr>
            <w:tcW w:type="dxa" w:w="1701"/>
            <w:shd w:fill="112332"/>
            <w:tcBorders>
              <w:top w:val="single" w:sz="0" w:color="112332"/>
              <w:left w:val="single" w:sz="0" w:color="112332"/>
              <w:bottom w:val="single" w:sz="0" w:color="112332"/>
              <w:right w:val="single" w:sz="0" w:color="112332"/>
              <w:insideH w:val="single" w:sz="0" w:color="112332"/>
              <w:insideV w:val="single" w:sz="0" w:color="112332"/>
            </w:tcBorders>
          </w:tcPr>
          <w:p>
            <w:pPr>
              <w:spacing w:after="0"/>
            </w:pPr>
          </w:p>
        </w:tc>
      </w:tr>
    </w:tbl>
    <w:p>
      <w:pPr>
        <w:spacing w:before="40" w:after="100"/>
      </w:pPr>
      <w:r>
        <w:rPr>
          <w:b/>
          <w:color w:val="006A9E"/>
          <w:sz w:val="15"/>
        </w:rPr>
        <w:t>EXECUTIVE ANSWER</w:t>
      </w:r>
    </w:p>
    <w:p>
      <w:pPr>
        <w:pStyle w:val="Heading1"/>
      </w:pPr>
      <w:r>
        <w:t>Implementation is an institutional routine</w:t>
      </w:r>
    </w:p>
    <w:p>
      <w:r>
        <w:t>Countries do not need another parallel strategy. They need a routine that connects existing statistics, legal duties, political priorities and lived experience to planning, budgeting, delivery and evaluation. LUMEN provides that routine through Observe → Model → Decide → Act.</w:t>
      </w:r>
    </w:p>
    <w:p>
      <w:pPr>
        <w:spacing w:after="60"/>
        <w:jc w:val="center"/>
      </w:pPr>
      <w:r>
        <w:drawing>
          <wp:inline xmlns:a="http://schemas.openxmlformats.org/drawingml/2006/main" xmlns:pic="http://schemas.openxmlformats.org/drawingml/2006/picture">
            <wp:extent cx="4968000" cy="4341181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umen_full_architectur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68000" cy="4341181"/>
                    </a:xfrm>
                    <a:prstGeom prst="rect"/>
                  </pic:spPr>
                </pic:pic>
              </a:graphicData>
            </a:graphic>
          </wp:inline>
        </w:drawing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25"/>
        <w:gridCol w:w="9524"/>
      </w:tblGrid>
      <w:tr>
        <w:tc>
          <w:tcPr>
            <w:tcW w:type="dxa" w:w="5185"/>
            <w:shd w:fill="006A9E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  <w:vAlign w:val="center"/>
          </w:tcPr>
          <w:p/>
        </w:tc>
        <w:tc>
          <w:tcPr>
            <w:tcW w:type="dxa" w:w="5185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  <w:vAlign w:val="center"/>
          </w:tcPr>
          <w:p>
            <w:pPr>
              <w:spacing w:after="60"/>
            </w:pPr>
            <w:r>
              <w:rPr>
                <w:b/>
                <w:color w:val="006A9E"/>
                <w:sz w:val="15"/>
              </w:rPr>
              <w:t>PILOT PROPOSITION</w:t>
            </w:r>
          </w:p>
          <w:p>
            <w:pPr>
              <w:spacing w:after="0"/>
            </w:pPr>
            <w:r>
              <w:rPr>
                <w:sz w:val="17"/>
              </w:rPr>
              <w:t>Select a bounded national policy portfolio; map the existing institutional baseline; run the full cycle for 12–18 months; publish learning and revise.</w:t>
            </w:r>
          </w:p>
        </w:tc>
      </w:tr>
    </w:tbl>
    <w:p>
      <w:pPr>
        <w:pStyle w:val="ListBullet"/>
        <w:spacing w:after="40"/>
        <w:ind w:left="255" w:hanging="113"/>
      </w:pPr>
      <w:r>
        <w:t>Country ownership governs priorities, adaptation and institutional placement.</w:t>
      </w:r>
    </w:p>
    <w:p>
      <w:pPr>
        <w:pStyle w:val="ListBullet"/>
        <w:spacing w:after="40"/>
        <w:ind w:left="255" w:hanging="113"/>
      </w:pPr>
      <w:r>
        <w:t>National statistical offices steward evidence and interoperability.</w:t>
      </w:r>
    </w:p>
    <w:p>
      <w:pPr>
        <w:pStyle w:val="ListBullet"/>
        <w:spacing w:after="40"/>
        <w:ind w:left="255" w:hanging="113"/>
      </w:pPr>
      <w:r>
        <w:t>Finance and planning ministries connect evidence to appraisal and budget.</w:t>
      </w:r>
    </w:p>
    <w:p>
      <w:pPr>
        <w:pStyle w:val="ListBullet"/>
        <w:spacing w:after="40"/>
        <w:ind w:left="255" w:hanging="113"/>
      </w:pPr>
      <w:r>
        <w:t>Delivery actors disclose implementation capacity, costs and observed results.</w:t>
      </w:r>
    </w:p>
    <w:p>
      <w:pPr>
        <w:pStyle w:val="ListBullet"/>
        <w:spacing w:after="40"/>
        <w:ind w:left="255" w:hanging="113"/>
      </w:pPr>
      <w:r>
        <w:t>Parliaments, audit bodies, courts and citizens protect legitimacy and accountability.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25"/>
        <w:gridCol w:w="9524"/>
      </w:tblGrid>
      <w:tr>
        <w:tc>
          <w:tcPr>
            <w:tcW w:type="dxa" w:w="5185"/>
            <w:shd w:fill="006A9E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  <w:vAlign w:val="center"/>
          </w:tcPr>
          <w:p/>
        </w:tc>
        <w:tc>
          <w:tcPr>
            <w:tcW w:type="dxa" w:w="5185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  <w:vAlign w:val="center"/>
          </w:tcPr>
          <w:p>
            <w:pPr>
              <w:spacing w:after="60"/>
            </w:pPr>
            <w:r>
              <w:rPr>
                <w:b/>
                <w:color w:val="006A9E"/>
                <w:sz w:val="15"/>
              </w:rPr>
              <w:t>ENGLISH ACRONYMS USED THROUGHOUT</w:t>
            </w:r>
          </w:p>
          <w:p>
            <w:pPr>
              <w:spacing w:after="0"/>
            </w:pPr>
            <w:r>
              <w:rPr>
                <w:sz w:val="17"/>
              </w:rPr>
              <w:t>OBI = Organisational Biomimicry Index · NLPI = Net Legal Production Index · CEDI = Collective Emotional Dynamics Index.</w:t>
            </w:r>
          </w:p>
        </w:tc>
      </w:tr>
    </w:tbl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457"/>
        <w:gridCol w:w="3457"/>
        <w:gridCol w:w="3457"/>
      </w:tblGrid>
      <w:tr>
        <w:trPr>
          <w:trHeight w:val="74"/>
        </w:trPr>
        <w:tc>
          <w:tcPr>
            <w:tcW w:type="dxa" w:w="2551"/>
            <w:shd w:fill="0087C8"/>
            <w:tcBorders>
              <w:top w:val="single" w:sz="0" w:color="0087C8"/>
              <w:left w:val="single" w:sz="0" w:color="0087C8"/>
              <w:bottom w:val="single" w:sz="0" w:color="0087C8"/>
              <w:right w:val="single" w:sz="0" w:color="0087C8"/>
              <w:insideH w:val="single" w:sz="0" w:color="0087C8"/>
              <w:insideV w:val="single" w:sz="0" w:color="0087C8"/>
            </w:tcBorders>
          </w:tcPr>
          <w:p>
            <w:pPr>
              <w:spacing w:after="0"/>
            </w:pPr>
          </w:p>
        </w:tc>
        <w:tc>
          <w:tcPr>
            <w:tcW w:type="dxa" w:w="1417"/>
            <w:shd w:fill="64D3E8"/>
            <w:tcBorders>
              <w:top w:val="single" w:sz="0" w:color="64D3E8"/>
              <w:left w:val="single" w:sz="0" w:color="64D3E8"/>
              <w:bottom w:val="single" w:sz="0" w:color="64D3E8"/>
              <w:right w:val="single" w:sz="0" w:color="64D3E8"/>
              <w:insideH w:val="single" w:sz="0" w:color="64D3E8"/>
              <w:insideV w:val="single" w:sz="0" w:color="64D3E8"/>
            </w:tcBorders>
          </w:tcPr>
          <w:p>
            <w:pPr>
              <w:spacing w:after="0"/>
            </w:pPr>
          </w:p>
        </w:tc>
        <w:tc>
          <w:tcPr>
            <w:tcW w:type="dxa" w:w="1701"/>
            <w:shd w:fill="112332"/>
            <w:tcBorders>
              <w:top w:val="single" w:sz="0" w:color="112332"/>
              <w:left w:val="single" w:sz="0" w:color="112332"/>
              <w:bottom w:val="single" w:sz="0" w:color="112332"/>
              <w:right w:val="single" w:sz="0" w:color="112332"/>
              <w:insideH w:val="single" w:sz="0" w:color="112332"/>
              <w:insideV w:val="single" w:sz="0" w:color="112332"/>
            </w:tcBorders>
          </w:tcPr>
          <w:p>
            <w:pPr>
              <w:spacing w:after="0"/>
            </w:pPr>
          </w:p>
        </w:tc>
      </w:tr>
    </w:tbl>
    <w:p>
      <w:pPr>
        <w:spacing w:before="40" w:after="100"/>
      </w:pPr>
      <w:r>
        <w:rPr>
          <w:b/>
          <w:color w:val="006A9E"/>
          <w:sz w:val="15"/>
        </w:rPr>
        <w:t>GUIDING QUESTION 1</w:t>
      </w:r>
    </w:p>
    <w:p>
      <w:pPr>
        <w:pStyle w:val="Heading1"/>
      </w:pPr>
      <w:r>
        <w:t>Integrate measures into planning, budgeting, monitoring and evaluation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57"/>
        <w:gridCol w:w="3457"/>
        <w:gridCol w:w="3457"/>
      </w:tblGrid>
      <w:tr>
        <w:trPr>
          <w:tblHeader w:val="true"/>
        </w:trPr>
        <w:tc>
          <w:tcPr>
            <w:tcW w:type="dxa" w:w="1814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Decision stage</w:t>
            </w:r>
          </w:p>
        </w:tc>
        <w:tc>
          <w:tcPr>
            <w:tcW w:type="dxa" w:w="4025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Beyond GDP integration</w:t>
            </w:r>
          </w:p>
        </w:tc>
        <w:tc>
          <w:tcPr>
            <w:tcW w:type="dxa" w:w="3572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Minimum record</w:t>
            </w:r>
          </w:p>
        </w:tc>
      </w:tr>
      <w:tr>
        <w:tc>
          <w:tcPr>
            <w:tcW w:type="dxa" w:w="1814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Strategic planning</w:t>
            </w:r>
          </w:p>
        </w:tc>
        <w:tc>
          <w:tcPr>
            <w:tcW w:type="dxa" w:w="4025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Use dashboard trends, capital stocks, floors and distribution to define outcomes.</w:t>
            </w:r>
          </w:p>
        </w:tc>
        <w:tc>
          <w:tcPr>
            <w:tcW w:type="dxa" w:w="3572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Baseline, target rationale and scenario assumptions.</w:t>
            </w:r>
          </w:p>
        </w:tc>
      </w:tr>
      <w:tr>
        <w:tc>
          <w:tcPr>
            <w:tcW w:type="dxa" w:w="1814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Budget preparation</w:t>
            </w:r>
          </w:p>
        </w:tc>
        <w:tc>
          <w:tcPr>
            <w:tcW w:type="dxa" w:w="4025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Appraise value, impacts, contribution, capture and implementation cost.</w:t>
            </w:r>
          </w:p>
        </w:tc>
        <w:tc>
          <w:tcPr>
            <w:tcW w:type="dxa" w:w="3572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Multi-horizon budget note and distribution.</w:t>
            </w:r>
          </w:p>
        </w:tc>
      </w:tr>
      <w:tr>
        <w:tc>
          <w:tcPr>
            <w:tcW w:type="dxa" w:w="1814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Approval</w:t>
            </w:r>
          </w:p>
        </w:tc>
        <w:tc>
          <w:tcPr>
            <w:tcW w:type="dxa" w:w="4025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Publish legal basis, evidence, deliberation and dissent.</w:t>
            </w:r>
          </w:p>
        </w:tc>
        <w:tc>
          <w:tcPr>
            <w:tcW w:type="dxa" w:w="3572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Decision record and safeguards.</w:t>
            </w:r>
          </w:p>
        </w:tc>
      </w:tr>
      <w:tr>
        <w:tc>
          <w:tcPr>
            <w:tcW w:type="dxa" w:w="1814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Delivery</w:t>
            </w:r>
          </w:p>
        </w:tc>
        <w:tc>
          <w:tcPr>
            <w:tcW w:type="dxa" w:w="4025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Use milestones that combine outputs, outcomes, experience and capability.</w:t>
            </w:r>
          </w:p>
        </w:tc>
        <w:tc>
          <w:tcPr>
            <w:tcW w:type="dxa" w:w="3572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Open delivery dashboard and corrective actions.</w:t>
            </w:r>
          </w:p>
        </w:tc>
      </w:tr>
      <w:tr>
        <w:tc>
          <w:tcPr>
            <w:tcW w:type="dxa" w:w="1814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Evaluation</w:t>
            </w:r>
          </w:p>
        </w:tc>
        <w:tc>
          <w:tcPr>
            <w:tcW w:type="dxa" w:w="4025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Compare expected and observed results; update models and institutions.</w:t>
            </w:r>
          </w:p>
        </w:tc>
        <w:tc>
          <w:tcPr>
            <w:tcW w:type="dxa" w:w="3572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Ex-post report and learning agenda.</w:t>
            </w:r>
          </w:p>
        </w:tc>
      </w:tr>
    </w:tbl>
    <w:p>
      <w:pPr>
        <w:spacing w:after="0"/>
      </w:pPr>
    </w:p>
    <w:p>
      <w:r>
        <w:t>National adaptation is achieved through a common process rather than identical indicators. Each country selects a common core and national modules, then documents why each measure is decision-relevant.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25"/>
        <w:gridCol w:w="9524"/>
      </w:tblGrid>
      <w:tr>
        <w:tc>
          <w:tcPr>
            <w:tcW w:type="dxa" w:w="5185"/>
            <w:shd w:fill="006A9E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  <w:vAlign w:val="center"/>
          </w:tcPr>
          <w:p/>
        </w:tc>
        <w:tc>
          <w:tcPr>
            <w:tcW w:type="dxa" w:w="5185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  <w:vAlign w:val="center"/>
          </w:tcPr>
          <w:p>
            <w:pPr>
              <w:spacing w:after="60"/>
            </w:pPr>
            <w:r>
              <w:rPr>
                <w:b/>
                <w:color w:val="006A9E"/>
                <w:sz w:val="15"/>
              </w:rPr>
              <w:t>NATIONAL INDICATOR INTAKE</w:t>
            </w:r>
          </w:p>
          <w:p>
            <w:pPr>
              <w:spacing w:after="0"/>
            </w:pPr>
            <w:r>
              <w:rPr>
                <w:sz w:val="17"/>
              </w:rPr>
              <w:t>Beyond GDP indicators are ingested through the NLPI evidence registry and connected to the country’s own normative profile. This creates a common traceability method while preserving national choices about priorities, additional measures, weights and authorised uses.</w:t>
            </w:r>
          </w:p>
        </w:tc>
      </w:tr>
    </w:tbl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457"/>
        <w:gridCol w:w="3457"/>
        <w:gridCol w:w="3457"/>
      </w:tblGrid>
      <w:tr>
        <w:trPr>
          <w:trHeight w:val="74"/>
        </w:trPr>
        <w:tc>
          <w:tcPr>
            <w:tcW w:type="dxa" w:w="2551"/>
            <w:shd w:fill="0087C8"/>
            <w:tcBorders>
              <w:top w:val="single" w:sz="0" w:color="0087C8"/>
              <w:left w:val="single" w:sz="0" w:color="0087C8"/>
              <w:bottom w:val="single" w:sz="0" w:color="0087C8"/>
              <w:right w:val="single" w:sz="0" w:color="0087C8"/>
              <w:insideH w:val="single" w:sz="0" w:color="0087C8"/>
              <w:insideV w:val="single" w:sz="0" w:color="0087C8"/>
            </w:tcBorders>
          </w:tcPr>
          <w:p>
            <w:pPr>
              <w:spacing w:after="0"/>
            </w:pPr>
          </w:p>
        </w:tc>
        <w:tc>
          <w:tcPr>
            <w:tcW w:type="dxa" w:w="1417"/>
            <w:shd w:fill="64D3E8"/>
            <w:tcBorders>
              <w:top w:val="single" w:sz="0" w:color="64D3E8"/>
              <w:left w:val="single" w:sz="0" w:color="64D3E8"/>
              <w:bottom w:val="single" w:sz="0" w:color="64D3E8"/>
              <w:right w:val="single" w:sz="0" w:color="64D3E8"/>
              <w:insideH w:val="single" w:sz="0" w:color="64D3E8"/>
              <w:insideV w:val="single" w:sz="0" w:color="64D3E8"/>
            </w:tcBorders>
          </w:tcPr>
          <w:p>
            <w:pPr>
              <w:spacing w:after="0"/>
            </w:pPr>
          </w:p>
        </w:tc>
        <w:tc>
          <w:tcPr>
            <w:tcW w:type="dxa" w:w="1701"/>
            <w:shd w:fill="112332"/>
            <w:tcBorders>
              <w:top w:val="single" w:sz="0" w:color="112332"/>
              <w:left w:val="single" w:sz="0" w:color="112332"/>
              <w:bottom w:val="single" w:sz="0" w:color="112332"/>
              <w:right w:val="single" w:sz="0" w:color="112332"/>
              <w:insideH w:val="single" w:sz="0" w:color="112332"/>
              <w:insideV w:val="single" w:sz="0" w:color="112332"/>
            </w:tcBorders>
          </w:tcPr>
          <w:p>
            <w:pPr>
              <w:spacing w:after="0"/>
            </w:pPr>
          </w:p>
        </w:tc>
      </w:tr>
    </w:tbl>
    <w:p>
      <w:pPr>
        <w:spacing w:before="40" w:after="100"/>
      </w:pPr>
      <w:r>
        <w:rPr>
          <w:b/>
          <w:color w:val="006A9E"/>
          <w:sz w:val="15"/>
        </w:rPr>
        <w:t>GUIDING QUESTION 2</w:t>
      </w:r>
    </w:p>
    <w:p>
      <w:pPr>
        <w:pStyle w:val="Heading1"/>
      </w:pPr>
      <w:r>
        <w:t>Institutional, statistical and governance arrangements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57"/>
        <w:gridCol w:w="3457"/>
        <w:gridCol w:w="3457"/>
      </w:tblGrid>
      <w:tr>
        <w:trPr>
          <w:tblHeader w:val="true"/>
        </w:trPr>
        <w:tc>
          <w:tcPr>
            <w:tcW w:type="dxa" w:w="1871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4"/>
              </w:rPr>
              <w:t>Function</w:t>
            </w:r>
          </w:p>
        </w:tc>
        <w:tc>
          <w:tcPr>
            <w:tcW w:type="dxa" w:w="3628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4"/>
              </w:rPr>
              <w:t>Suggested lead</w:t>
            </w:r>
          </w:p>
        </w:tc>
        <w:tc>
          <w:tcPr>
            <w:tcW w:type="dxa" w:w="3912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4"/>
              </w:rPr>
              <w:t>Checks and balances</w:t>
            </w:r>
          </w:p>
        </w:tc>
      </w:tr>
      <w:tr>
        <w:tc>
          <w:tcPr>
            <w:tcW w:type="dxa" w:w="1871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4"/>
              </w:rPr>
              <w:t>Data stewardship</w:t>
            </w:r>
          </w:p>
        </w:tc>
        <w:tc>
          <w:tcPr>
            <w:tcW w:type="dxa" w:w="3628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4"/>
              </w:rPr>
              <w:t>National statistical office</w:t>
            </w:r>
          </w:p>
        </w:tc>
        <w:tc>
          <w:tcPr>
            <w:tcW w:type="dxa" w:w="3912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4"/>
              </w:rPr>
              <w:t>Professional independence, quality protocol and privacy.</w:t>
            </w:r>
          </w:p>
        </w:tc>
      </w:tr>
      <w:tr>
        <w:tc>
          <w:tcPr>
            <w:tcW w:type="dxa" w:w="1871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4"/>
              </w:rPr>
              <w:t>Scenario and fiscal modelling</w:t>
            </w:r>
          </w:p>
        </w:tc>
        <w:tc>
          <w:tcPr>
            <w:tcW w:type="dxa" w:w="3628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4"/>
              </w:rPr>
              <w:t>Finance/planning ministry with scientific advice</w:t>
            </w:r>
          </w:p>
        </w:tc>
        <w:tc>
          <w:tcPr>
            <w:tcW w:type="dxa" w:w="3912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4"/>
              </w:rPr>
              <w:t>Published assumptions, alternatives and uncertainty.</w:t>
            </w:r>
          </w:p>
        </w:tc>
      </w:tr>
      <w:tr>
        <w:tc>
          <w:tcPr>
            <w:tcW w:type="dxa" w:w="1871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4"/>
              </w:rPr>
              <w:t>Legal coherence</w:t>
            </w:r>
          </w:p>
        </w:tc>
        <w:tc>
          <w:tcPr>
            <w:tcW w:type="dxa" w:w="3628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4"/>
              </w:rPr>
              <w:t>Justice/legal service and competent oversight bodies</w:t>
            </w:r>
          </w:p>
        </w:tc>
        <w:tc>
          <w:tcPr>
            <w:tcW w:type="dxa" w:w="3912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4"/>
              </w:rPr>
              <w:t>Judicial review and non-derogable rights.</w:t>
            </w:r>
          </w:p>
        </w:tc>
      </w:tr>
      <w:tr>
        <w:tc>
          <w:tcPr>
            <w:tcW w:type="dxa" w:w="1871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4"/>
              </w:rPr>
              <w:t>Participation and lived experience</w:t>
            </w:r>
          </w:p>
        </w:tc>
        <w:tc>
          <w:tcPr>
            <w:tcW w:type="dxa" w:w="3628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4"/>
              </w:rPr>
              <w:t>Independent or plural participation function</w:t>
            </w:r>
          </w:p>
        </w:tc>
        <w:tc>
          <w:tcPr>
            <w:tcW w:type="dxa" w:w="3912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4"/>
              </w:rPr>
              <w:t>Inclusion, consent, representativeness and feedback.</w:t>
            </w:r>
          </w:p>
        </w:tc>
      </w:tr>
      <w:tr>
        <w:tc>
          <w:tcPr>
            <w:tcW w:type="dxa" w:w="1871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4"/>
              </w:rPr>
              <w:t>Delivery</w:t>
            </w:r>
          </w:p>
        </w:tc>
        <w:tc>
          <w:tcPr>
            <w:tcW w:type="dxa" w:w="3628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4"/>
              </w:rPr>
              <w:t>Sector ministries, local government and partners</w:t>
            </w:r>
          </w:p>
        </w:tc>
        <w:tc>
          <w:tcPr>
            <w:tcW w:type="dxa" w:w="3912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4"/>
              </w:rPr>
              <w:t>Contracts, milestones, audit and corrective action.</w:t>
            </w:r>
          </w:p>
        </w:tc>
      </w:tr>
      <w:tr>
        <w:tc>
          <w:tcPr>
            <w:tcW w:type="dxa" w:w="1871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4"/>
              </w:rPr>
              <w:t>Accountability</w:t>
            </w:r>
          </w:p>
        </w:tc>
        <w:tc>
          <w:tcPr>
            <w:tcW w:type="dxa" w:w="3628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4"/>
              </w:rPr>
              <w:t>Parliament, audit institutions, ombuds and public reporting</w:t>
            </w:r>
          </w:p>
        </w:tc>
        <w:tc>
          <w:tcPr>
            <w:tcW w:type="dxa" w:w="3912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4"/>
              </w:rPr>
              <w:t>Transparent rationale and contestation.</w:t>
            </w:r>
          </w:p>
        </w:tc>
      </w:tr>
    </w:tbl>
    <w:p>
      <w:pPr>
        <w:spacing w:after="0"/>
      </w:pP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25"/>
        <w:gridCol w:w="9524"/>
      </w:tblGrid>
      <w:tr>
        <w:tc>
          <w:tcPr>
            <w:tcW w:type="dxa" w:w="5185"/>
            <w:shd w:fill="006A9E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  <w:vAlign w:val="center"/>
          </w:tcPr>
          <w:p/>
        </w:tc>
        <w:tc>
          <w:tcPr>
            <w:tcW w:type="dxa" w:w="5185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  <w:vAlign w:val="center"/>
          </w:tcPr>
          <w:p>
            <w:pPr>
              <w:spacing w:after="60"/>
            </w:pPr>
            <w:r>
              <w:rPr>
                <w:b/>
                <w:color w:val="006A9E"/>
                <w:sz w:val="15"/>
              </w:rPr>
              <w:t>INSTITUTIONAL ECONOMY</w:t>
            </w:r>
          </w:p>
          <w:p>
            <w:pPr>
              <w:spacing w:after="0"/>
            </w:pPr>
            <w:r>
              <w:rPr>
                <w:sz w:val="17"/>
              </w:rPr>
              <w:t>Use existing mandates first. Create a new body only where no institution can steward the cross-cutting cycle.</w:t>
            </w:r>
          </w:p>
        </w:tc>
      </w:tr>
    </w:tbl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457"/>
        <w:gridCol w:w="3457"/>
        <w:gridCol w:w="3457"/>
      </w:tblGrid>
      <w:tr>
        <w:trPr>
          <w:trHeight w:val="74"/>
        </w:trPr>
        <w:tc>
          <w:tcPr>
            <w:tcW w:type="dxa" w:w="2551"/>
            <w:shd w:fill="0087C8"/>
            <w:tcBorders>
              <w:top w:val="single" w:sz="0" w:color="0087C8"/>
              <w:left w:val="single" w:sz="0" w:color="0087C8"/>
              <w:bottom w:val="single" w:sz="0" w:color="0087C8"/>
              <w:right w:val="single" w:sz="0" w:color="0087C8"/>
              <w:insideH w:val="single" w:sz="0" w:color="0087C8"/>
              <w:insideV w:val="single" w:sz="0" w:color="0087C8"/>
            </w:tcBorders>
          </w:tcPr>
          <w:p>
            <w:pPr>
              <w:spacing w:after="0"/>
            </w:pPr>
          </w:p>
        </w:tc>
        <w:tc>
          <w:tcPr>
            <w:tcW w:type="dxa" w:w="1417"/>
            <w:shd w:fill="64D3E8"/>
            <w:tcBorders>
              <w:top w:val="single" w:sz="0" w:color="64D3E8"/>
              <w:left w:val="single" w:sz="0" w:color="64D3E8"/>
              <w:bottom w:val="single" w:sz="0" w:color="64D3E8"/>
              <w:right w:val="single" w:sz="0" w:color="64D3E8"/>
              <w:insideH w:val="single" w:sz="0" w:color="64D3E8"/>
              <w:insideV w:val="single" w:sz="0" w:color="64D3E8"/>
            </w:tcBorders>
          </w:tcPr>
          <w:p>
            <w:pPr>
              <w:spacing w:after="0"/>
            </w:pPr>
          </w:p>
        </w:tc>
        <w:tc>
          <w:tcPr>
            <w:tcW w:type="dxa" w:w="1701"/>
            <w:shd w:fill="112332"/>
            <w:tcBorders>
              <w:top w:val="single" w:sz="0" w:color="112332"/>
              <w:left w:val="single" w:sz="0" w:color="112332"/>
              <w:bottom w:val="single" w:sz="0" w:color="112332"/>
              <w:right w:val="single" w:sz="0" w:color="112332"/>
              <w:insideH w:val="single" w:sz="0" w:color="112332"/>
              <w:insideV w:val="single" w:sz="0" w:color="112332"/>
            </w:tcBorders>
          </w:tcPr>
          <w:p>
            <w:pPr>
              <w:spacing w:after="0"/>
            </w:pPr>
          </w:p>
        </w:tc>
      </w:tr>
    </w:tbl>
    <w:p>
      <w:pPr>
        <w:spacing w:before="40" w:after="100"/>
      </w:pPr>
      <w:r>
        <w:rPr>
          <w:b/>
          <w:color w:val="006A9E"/>
          <w:sz w:val="15"/>
        </w:rPr>
        <w:t>GUIDING QUESTION 3</w:t>
      </w:r>
    </w:p>
    <w:p>
      <w:pPr>
        <w:pStyle w:val="Heading1"/>
      </w:pPr>
      <w:r>
        <w:t>Capacity and international cooperation</w:t>
      </w:r>
    </w:p>
    <w:p>
      <w:r>
        <w:t>Capacity support should address the whole decision chain. Funding data production without supporting legal analysis, participation, modelling and delivery leaves the system incomplete.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85"/>
        <w:gridCol w:w="5185"/>
      </w:tblGrid>
      <w:tr>
        <w:trPr>
          <w:tblHeader w:val="true"/>
        </w:trPr>
        <w:tc>
          <w:tcPr>
            <w:tcW w:type="dxa" w:w="2381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Capacity layer</w:t>
            </w:r>
          </w:p>
        </w:tc>
        <w:tc>
          <w:tcPr>
            <w:tcW w:type="dxa" w:w="7030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Priority investment</w:t>
            </w:r>
          </w:p>
        </w:tc>
      </w:tr>
      <w:tr>
        <w:tc>
          <w:tcPr>
            <w:tcW w:type="dxa" w:w="2381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Statistical</w:t>
            </w:r>
          </w:p>
        </w:tc>
        <w:tc>
          <w:tcPr>
            <w:tcW w:type="dxa" w:w="7030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Disaggregation, capital accounts, administrative data, citizen-data integration and metadata.</w:t>
            </w:r>
          </w:p>
        </w:tc>
      </w:tr>
      <w:tr>
        <w:tc>
          <w:tcPr>
            <w:tcW w:type="dxa" w:w="2381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Analytical</w:t>
            </w:r>
          </w:p>
        </w:tc>
        <w:tc>
          <w:tcPr>
            <w:tcW w:type="dxa" w:w="7030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Scenario modelling, distribution, spillovers, uncertainty and causal evaluation.</w:t>
            </w:r>
          </w:p>
        </w:tc>
      </w:tr>
      <w:tr>
        <w:tc>
          <w:tcPr>
            <w:tcW w:type="dxa" w:w="2381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Legal</w:t>
            </w:r>
          </w:p>
        </w:tc>
        <w:tc>
          <w:tcPr>
            <w:tcW w:type="dxa" w:w="7030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Norm mapping, regulatory impact, rights screening and cross-border compatibility.</w:t>
            </w:r>
          </w:p>
        </w:tc>
      </w:tr>
      <w:tr>
        <w:tc>
          <w:tcPr>
            <w:tcW w:type="dxa" w:w="2381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Participatory</w:t>
            </w:r>
          </w:p>
        </w:tc>
        <w:tc>
          <w:tcPr>
            <w:tcW w:type="dxa" w:w="7030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Inclusive design, facilitation, consent, feedback and qualitative analysis.</w:t>
            </w:r>
          </w:p>
        </w:tc>
      </w:tr>
      <w:tr>
        <w:tc>
          <w:tcPr>
            <w:tcW w:type="dxa" w:w="2381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Delivery</w:t>
            </w:r>
          </w:p>
        </w:tc>
        <w:tc>
          <w:tcPr>
            <w:tcW w:type="dxa" w:w="7030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Programme management, procurement, local capability, digital public infrastructure and learning.</w:t>
            </w:r>
          </w:p>
        </w:tc>
      </w:tr>
      <w:tr>
        <w:tc>
          <w:tcPr>
            <w:tcW w:type="dxa" w:w="2381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Governance</w:t>
            </w:r>
          </w:p>
        </w:tc>
        <w:tc>
          <w:tcPr>
            <w:tcW w:type="dxa" w:w="7030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Independent audit, parliamentary use, open data and appeal mechanisms.</w:t>
            </w:r>
          </w:p>
        </w:tc>
      </w:tr>
    </w:tbl>
    <w:p>
      <w:pPr>
        <w:spacing w:after="0"/>
      </w:pPr>
    </w:p>
    <w:p>
      <w:r>
        <w:t>International cooperation should finance sustained institutional capability, not only time-limited indicator projects. Open methods, peer networks and regional hubs can reduce costs while preserving national ownership.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457"/>
        <w:gridCol w:w="3457"/>
        <w:gridCol w:w="3457"/>
      </w:tblGrid>
      <w:tr>
        <w:trPr>
          <w:trHeight w:val="74"/>
        </w:trPr>
        <w:tc>
          <w:tcPr>
            <w:tcW w:type="dxa" w:w="2551"/>
            <w:shd w:fill="0087C8"/>
            <w:tcBorders>
              <w:top w:val="single" w:sz="0" w:color="0087C8"/>
              <w:left w:val="single" w:sz="0" w:color="0087C8"/>
              <w:bottom w:val="single" w:sz="0" w:color="0087C8"/>
              <w:right w:val="single" w:sz="0" w:color="0087C8"/>
              <w:insideH w:val="single" w:sz="0" w:color="0087C8"/>
              <w:insideV w:val="single" w:sz="0" w:color="0087C8"/>
            </w:tcBorders>
          </w:tcPr>
          <w:p>
            <w:pPr>
              <w:spacing w:after="0"/>
            </w:pPr>
          </w:p>
        </w:tc>
        <w:tc>
          <w:tcPr>
            <w:tcW w:type="dxa" w:w="1417"/>
            <w:shd w:fill="64D3E8"/>
            <w:tcBorders>
              <w:top w:val="single" w:sz="0" w:color="64D3E8"/>
              <w:left w:val="single" w:sz="0" w:color="64D3E8"/>
              <w:bottom w:val="single" w:sz="0" w:color="64D3E8"/>
              <w:right w:val="single" w:sz="0" w:color="64D3E8"/>
              <w:insideH w:val="single" w:sz="0" w:color="64D3E8"/>
              <w:insideV w:val="single" w:sz="0" w:color="64D3E8"/>
            </w:tcBorders>
          </w:tcPr>
          <w:p>
            <w:pPr>
              <w:spacing w:after="0"/>
            </w:pPr>
          </w:p>
        </w:tc>
        <w:tc>
          <w:tcPr>
            <w:tcW w:type="dxa" w:w="1701"/>
            <w:shd w:fill="112332"/>
            <w:tcBorders>
              <w:top w:val="single" w:sz="0" w:color="112332"/>
              <w:left w:val="single" w:sz="0" w:color="112332"/>
              <w:bottom w:val="single" w:sz="0" w:color="112332"/>
              <w:right w:val="single" w:sz="0" w:color="112332"/>
              <w:insideH w:val="single" w:sz="0" w:color="112332"/>
              <w:insideV w:val="single" w:sz="0" w:color="112332"/>
            </w:tcBorders>
          </w:tcPr>
          <w:p>
            <w:pPr>
              <w:spacing w:after="0"/>
            </w:pPr>
          </w:p>
        </w:tc>
      </w:tr>
    </w:tbl>
    <w:p>
      <w:pPr>
        <w:spacing w:before="40" w:after="100"/>
      </w:pPr>
      <w:r>
        <w:rPr>
          <w:b/>
          <w:color w:val="006A9E"/>
          <w:sz w:val="15"/>
        </w:rPr>
        <w:t>GUIDING QUESTION 4</w:t>
      </w:r>
    </w:p>
    <w:p>
      <w:pPr>
        <w:pStyle w:val="Heading1"/>
      </w:pPr>
      <w:r>
        <w:t>A cooperation model for statisticians and policymakers</w:t>
      </w:r>
    </w:p>
    <w:p>
      <w:pPr>
        <w:pStyle w:val="ListNumber"/>
        <w:spacing w:after="60"/>
        <w:ind w:left="283" w:hanging="113"/>
      </w:pPr>
      <w:r>
        <w:t>Jointly define the decision question before selecting indicators.</w:t>
      </w:r>
    </w:p>
    <w:p>
      <w:pPr>
        <w:pStyle w:val="ListNumber"/>
        <w:spacing w:after="60"/>
        <w:ind w:left="283" w:hanging="113"/>
      </w:pPr>
      <w:r>
        <w:t>Map the causal pathway from inputs and activities to outcomes, stocks and spillovers.</w:t>
      </w:r>
    </w:p>
    <w:p>
      <w:pPr>
        <w:pStyle w:val="ListNumber"/>
        <w:spacing w:after="60"/>
        <w:ind w:left="283" w:hanging="113"/>
      </w:pPr>
      <w:r>
        <w:t>Agree data sources, quality thresholds, disaggregation and update frequency.</w:t>
      </w:r>
    </w:p>
    <w:p>
      <w:pPr>
        <w:pStyle w:val="ListNumber"/>
        <w:spacing w:after="60"/>
        <w:ind w:left="283" w:hanging="113"/>
      </w:pPr>
      <w:r>
        <w:t>Model alternative policies with uncertainty, delivery constraints and distribution.</w:t>
      </w:r>
    </w:p>
    <w:p>
      <w:pPr>
        <w:pStyle w:val="ListNumber"/>
        <w:spacing w:after="60"/>
        <w:ind w:left="283" w:hanging="113"/>
      </w:pPr>
      <w:r>
        <w:t>Record the political and legal judgement separately from the technical assessment.</w:t>
      </w:r>
    </w:p>
    <w:p>
      <w:pPr>
        <w:pStyle w:val="ListNumber"/>
        <w:spacing w:after="60"/>
        <w:ind w:left="283" w:hanging="113"/>
      </w:pPr>
      <w:r>
        <w:t>Track implementation and compare predicted with observed results.</w:t>
      </w:r>
    </w:p>
    <w:p>
      <w:pPr>
        <w:pStyle w:val="ListNumber"/>
        <w:spacing w:after="60"/>
        <w:ind w:left="283" w:hanging="113"/>
      </w:pPr>
      <w:r>
        <w:t>Use the error as learning: revise indicators, models, capacity or policy design.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25"/>
        <w:gridCol w:w="9524"/>
      </w:tblGrid>
      <w:tr>
        <w:tc>
          <w:tcPr>
            <w:tcW w:type="dxa" w:w="5185"/>
            <w:shd w:fill="006A9E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  <w:vAlign w:val="center"/>
          </w:tcPr>
          <w:p/>
        </w:tc>
        <w:tc>
          <w:tcPr>
            <w:tcW w:type="dxa" w:w="5185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  <w:vAlign w:val="center"/>
          </w:tcPr>
          <w:p>
            <w:pPr>
              <w:spacing w:after="60"/>
            </w:pPr>
            <w:r>
              <w:rPr>
                <w:b/>
                <w:color w:val="006A9E"/>
                <w:sz w:val="15"/>
              </w:rPr>
              <w:t>BOUNDARY OBJECT</w:t>
            </w:r>
          </w:p>
          <w:p>
            <w:pPr>
              <w:spacing w:after="0"/>
            </w:pPr>
            <w:r>
              <w:rPr>
                <w:sz w:val="17"/>
              </w:rPr>
              <w:t>A shared scenario ledger — rather than a single score — becomes the working interface between statisticians, finance officials, delivery teams and decision-makers.</w:t>
            </w:r>
          </w:p>
        </w:tc>
      </w:tr>
    </w:tbl>
    <w:p>
      <w:r>
        <w:t>National statistical offices should not be made responsible for policy choices. Their role is to protect evidence quality, transparency and comparability while helping users understand limitations.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457"/>
        <w:gridCol w:w="3457"/>
        <w:gridCol w:w="3457"/>
      </w:tblGrid>
      <w:tr>
        <w:trPr>
          <w:trHeight w:val="74"/>
        </w:trPr>
        <w:tc>
          <w:tcPr>
            <w:tcW w:type="dxa" w:w="2551"/>
            <w:shd w:fill="0087C8"/>
            <w:tcBorders>
              <w:top w:val="single" w:sz="0" w:color="0087C8"/>
              <w:left w:val="single" w:sz="0" w:color="0087C8"/>
              <w:bottom w:val="single" w:sz="0" w:color="0087C8"/>
              <w:right w:val="single" w:sz="0" w:color="0087C8"/>
              <w:insideH w:val="single" w:sz="0" w:color="0087C8"/>
              <w:insideV w:val="single" w:sz="0" w:color="0087C8"/>
            </w:tcBorders>
          </w:tcPr>
          <w:p>
            <w:pPr>
              <w:spacing w:after="0"/>
            </w:pPr>
          </w:p>
        </w:tc>
        <w:tc>
          <w:tcPr>
            <w:tcW w:type="dxa" w:w="1417"/>
            <w:shd w:fill="64D3E8"/>
            <w:tcBorders>
              <w:top w:val="single" w:sz="0" w:color="64D3E8"/>
              <w:left w:val="single" w:sz="0" w:color="64D3E8"/>
              <w:bottom w:val="single" w:sz="0" w:color="64D3E8"/>
              <w:right w:val="single" w:sz="0" w:color="64D3E8"/>
              <w:insideH w:val="single" w:sz="0" w:color="64D3E8"/>
              <w:insideV w:val="single" w:sz="0" w:color="64D3E8"/>
            </w:tcBorders>
          </w:tcPr>
          <w:p>
            <w:pPr>
              <w:spacing w:after="0"/>
            </w:pPr>
          </w:p>
        </w:tc>
        <w:tc>
          <w:tcPr>
            <w:tcW w:type="dxa" w:w="1701"/>
            <w:shd w:fill="112332"/>
            <w:tcBorders>
              <w:top w:val="single" w:sz="0" w:color="112332"/>
              <w:left w:val="single" w:sz="0" w:color="112332"/>
              <w:bottom w:val="single" w:sz="0" w:color="112332"/>
              <w:right w:val="single" w:sz="0" w:color="112332"/>
              <w:insideH w:val="single" w:sz="0" w:color="112332"/>
              <w:insideV w:val="single" w:sz="0" w:color="112332"/>
            </w:tcBorders>
          </w:tcPr>
          <w:p>
            <w:pPr>
              <w:spacing w:after="0"/>
            </w:pPr>
          </w:p>
        </w:tc>
      </w:tr>
    </w:tbl>
    <w:p>
      <w:pPr>
        <w:spacing w:before="40" w:after="100"/>
      </w:pPr>
      <w:r>
        <w:rPr>
          <w:b/>
          <w:color w:val="006A9E"/>
          <w:sz w:val="15"/>
        </w:rPr>
        <w:t>THE NATIONAL LUMEN LOOP</w:t>
      </w:r>
    </w:p>
    <w:p>
      <w:pPr>
        <w:pStyle w:val="Heading1"/>
      </w:pPr>
      <w:r>
        <w:t>From theoretical architecture to time-bound operations</w:t>
      </w:r>
    </w:p>
    <w:p>
      <w:pPr>
        <w:spacing w:after="60"/>
        <w:jc w:val="center"/>
      </w:pPr>
      <w:r>
        <w:drawing>
          <wp:inline xmlns:a="http://schemas.openxmlformats.org/drawingml/2006/main" xmlns:pic="http://schemas.openxmlformats.org/drawingml/2006/picture">
            <wp:extent cx="4968000" cy="4341181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umen_full_architectur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68000" cy="4341181"/>
                    </a:xfrm>
                    <a:prstGeom prst="rect"/>
                  </pic:spPr>
                </pic:pic>
              </a:graphicData>
            </a:graphic>
          </wp:inline>
        </w:drawing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57"/>
        <w:gridCol w:w="3457"/>
        <w:gridCol w:w="3457"/>
      </w:tblGrid>
      <w:tr>
        <w:trPr>
          <w:tblHeader w:val="true"/>
        </w:trPr>
        <w:tc>
          <w:tcPr>
            <w:tcW w:type="dxa" w:w="2494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Mode</w:t>
            </w:r>
          </w:p>
        </w:tc>
        <w:tc>
          <w:tcPr>
            <w:tcW w:type="dxa" w:w="4365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Purpose</w:t>
            </w:r>
          </w:p>
        </w:tc>
        <w:tc>
          <w:tcPr>
            <w:tcW w:type="dxa" w:w="2551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Time horizon</w:t>
            </w:r>
          </w:p>
        </w:tc>
      </w:tr>
      <w:tr>
        <w:tc>
          <w:tcPr>
            <w:tcW w:type="dxa" w:w="2494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Theoretical OBI/NLPI/CEDI</w:t>
            </w:r>
          </w:p>
        </w:tc>
        <w:tc>
          <w:tcPr>
            <w:tcW w:type="dxa" w:w="4365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Define concepts, dimensions, indicators and governance rules.</w:t>
            </w:r>
          </w:p>
        </w:tc>
        <w:tc>
          <w:tcPr>
            <w:tcW w:type="dxa" w:w="2551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Stable reference, periodically reviewed.</w:t>
            </w:r>
          </w:p>
        </w:tc>
      </w:tr>
      <w:tr>
        <w:tc>
          <w:tcPr>
            <w:tcW w:type="dxa" w:w="2494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Operational OBI/NLPI/CEDI</w:t>
            </w:r>
          </w:p>
        </w:tc>
        <w:tc>
          <w:tcPr>
            <w:tcW w:type="dxa" w:w="4365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Use a selected subset for a policy portfolio and decision cycle.</w:t>
            </w:r>
          </w:p>
        </w:tc>
        <w:tc>
          <w:tcPr>
            <w:tcW w:type="dxa" w:w="2551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Quarterly to annual, depending on the decision.</w:t>
            </w:r>
          </w:p>
        </w:tc>
      </w:tr>
      <w:tr>
        <w:tc>
          <w:tcPr>
            <w:tcW w:type="dxa" w:w="2494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Observed result</w:t>
            </w:r>
          </w:p>
        </w:tc>
        <w:tc>
          <w:tcPr>
            <w:tcW w:type="dxa" w:w="4365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Replace assumptions with delivery evidence and reported experience.</w:t>
            </w:r>
          </w:p>
        </w:tc>
        <w:tc>
          <w:tcPr>
            <w:tcW w:type="dxa" w:w="2551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At milestones and ex-post review.</w:t>
            </w:r>
          </w:p>
        </w:tc>
      </w:tr>
    </w:tbl>
    <w:p>
      <w:pPr>
        <w:spacing w:after="0"/>
      </w:pPr>
    </w:p>
    <w:p>
      <w:r>
        <w:t>Separating theoretical and operational instruments prevents two errors: demanding all possible data before acting, and mistaking an expedient pilot metric for a permanent standard.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457"/>
        <w:gridCol w:w="3457"/>
        <w:gridCol w:w="3457"/>
      </w:tblGrid>
      <w:tr>
        <w:trPr>
          <w:trHeight w:val="74"/>
        </w:trPr>
        <w:tc>
          <w:tcPr>
            <w:tcW w:type="dxa" w:w="2551"/>
            <w:shd w:fill="0087C8"/>
            <w:tcBorders>
              <w:top w:val="single" w:sz="0" w:color="0087C8"/>
              <w:left w:val="single" w:sz="0" w:color="0087C8"/>
              <w:bottom w:val="single" w:sz="0" w:color="0087C8"/>
              <w:right w:val="single" w:sz="0" w:color="0087C8"/>
              <w:insideH w:val="single" w:sz="0" w:color="0087C8"/>
              <w:insideV w:val="single" w:sz="0" w:color="0087C8"/>
            </w:tcBorders>
          </w:tcPr>
          <w:p>
            <w:pPr>
              <w:spacing w:after="0"/>
            </w:pPr>
          </w:p>
        </w:tc>
        <w:tc>
          <w:tcPr>
            <w:tcW w:type="dxa" w:w="1417"/>
            <w:shd w:fill="64D3E8"/>
            <w:tcBorders>
              <w:top w:val="single" w:sz="0" w:color="64D3E8"/>
              <w:left w:val="single" w:sz="0" w:color="64D3E8"/>
              <w:bottom w:val="single" w:sz="0" w:color="64D3E8"/>
              <w:right w:val="single" w:sz="0" w:color="64D3E8"/>
              <w:insideH w:val="single" w:sz="0" w:color="64D3E8"/>
              <w:insideV w:val="single" w:sz="0" w:color="64D3E8"/>
            </w:tcBorders>
          </w:tcPr>
          <w:p>
            <w:pPr>
              <w:spacing w:after="0"/>
            </w:pPr>
          </w:p>
        </w:tc>
        <w:tc>
          <w:tcPr>
            <w:tcW w:type="dxa" w:w="1701"/>
            <w:shd w:fill="112332"/>
            <w:tcBorders>
              <w:top w:val="single" w:sz="0" w:color="112332"/>
              <w:left w:val="single" w:sz="0" w:color="112332"/>
              <w:bottom w:val="single" w:sz="0" w:color="112332"/>
              <w:right w:val="single" w:sz="0" w:color="112332"/>
              <w:insideH w:val="single" w:sz="0" w:color="112332"/>
              <w:insideV w:val="single" w:sz="0" w:color="112332"/>
            </w:tcBorders>
          </w:tcPr>
          <w:p>
            <w:pPr>
              <w:spacing w:after="0"/>
            </w:pPr>
          </w:p>
        </w:tc>
      </w:tr>
    </w:tbl>
    <w:p>
      <w:pPr>
        <w:spacing w:before="40" w:after="100"/>
      </w:pPr>
      <w:r>
        <w:rPr>
          <w:b/>
          <w:color w:val="006A9E"/>
          <w:sz w:val="15"/>
        </w:rPr>
        <w:t>VALUE CAPTURE AND FIRMS</w:t>
      </w:r>
    </w:p>
    <w:p>
      <w:pPr>
        <w:pStyle w:val="Heading1"/>
      </w:pPr>
      <w:r>
        <w:t>Make private capability serve public outcomes</w:t>
      </w:r>
    </w:p>
    <w:p>
      <w:r>
        <w:t>Companies can reveal costs, dependencies, risks, innovation potential and delivery constraints that public accounts alone cannot see. Participation should therefore be structured through sector protocols, procurement, regulated reporting and outcome-based partnerships.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25"/>
        <w:gridCol w:w="9524"/>
      </w:tblGrid>
      <w:tr>
        <w:tc>
          <w:tcPr>
            <w:tcW w:type="dxa" w:w="5185"/>
            <w:shd w:fill="006A9E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  <w:vAlign w:val="center"/>
          </w:tcPr>
          <w:p/>
        </w:tc>
        <w:tc>
          <w:tcPr>
            <w:tcW w:type="dxa" w:w="5185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  <w:vAlign w:val="center"/>
          </w:tcPr>
          <w:p>
            <w:pPr>
              <w:spacing w:after="60"/>
            </w:pPr>
            <w:r>
              <w:rPr>
                <w:b/>
                <w:color w:val="006A9E"/>
                <w:sz w:val="15"/>
              </w:rPr>
              <w:t>CAPTURABLE VALUE</w:t>
            </w:r>
          </w:p>
          <w:p>
            <w:pPr>
              <w:spacing w:after="0"/>
            </w:pPr>
            <w:r>
              <w:rPr>
                <w:sz w:val="17"/>
              </w:rPr>
              <w:t>Σᵢ[(Vᵢ − Iᵢ + Cᵢ) × Pᵢ × τᵢ(T) − Mᵢ(T)]. Vᵢ is gross value produced or protected; Iᵢ is negative impacts, hidden costs, externalities and risks; Cᵢ is positive contribution beyond direct output; Pᵢ is the transparent normative factor; τᵢ(T) is the realistic capture rate; and Mᵢ(T) is implementation and transition cost. The subscript i identifies each evaluated action, policy, impact or unit; Σᵢ sums those units; and T is the stated horizon. τᵢ(T) prevents theoretical benefit from being booked as an observed result.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57"/>
        <w:gridCol w:w="3457"/>
        <w:gridCol w:w="3457"/>
      </w:tblGrid>
      <w:tr>
        <w:trPr>
          <w:tblHeader w:val="true"/>
        </w:trPr>
        <w:tc>
          <w:tcPr>
            <w:tcW w:type="dxa" w:w="1871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Public concern</w:t>
            </w:r>
          </w:p>
        </w:tc>
        <w:tc>
          <w:tcPr>
            <w:tcW w:type="dxa" w:w="3628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Enterprise contribution</w:t>
            </w:r>
          </w:p>
        </w:tc>
        <w:tc>
          <w:tcPr>
            <w:tcW w:type="dxa" w:w="3912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Safeguard</w:t>
            </w:r>
          </w:p>
        </w:tc>
      </w:tr>
      <w:tr>
        <w:tc>
          <w:tcPr>
            <w:tcW w:type="dxa" w:w="1871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Revenue leakage</w:t>
            </w:r>
          </w:p>
        </w:tc>
        <w:tc>
          <w:tcPr>
            <w:tcW w:type="dxa" w:w="3628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Operational data and corrective implementation.</w:t>
            </w:r>
          </w:p>
        </w:tc>
        <w:tc>
          <w:tcPr>
            <w:tcW w:type="dxa" w:w="3912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Independent verification and no self-certified public value.</w:t>
            </w:r>
          </w:p>
        </w:tc>
      </w:tr>
      <w:tr>
        <w:tc>
          <w:tcPr>
            <w:tcW w:type="dxa" w:w="1871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Hidden costs</w:t>
            </w:r>
          </w:p>
        </w:tc>
        <w:tc>
          <w:tcPr>
            <w:tcW w:type="dxa" w:w="3628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Incident, workforce, supply-chain and externality evidence.</w:t>
            </w:r>
          </w:p>
        </w:tc>
        <w:tc>
          <w:tcPr>
            <w:tcW w:type="dxa" w:w="3912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Confidentiality rules with public aggregate accountability.</w:t>
            </w:r>
          </w:p>
        </w:tc>
      </w:tr>
      <w:tr>
        <w:tc>
          <w:tcPr>
            <w:tcW w:type="dxa" w:w="1871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Innovation</w:t>
            </w:r>
          </w:p>
        </w:tc>
        <w:tc>
          <w:tcPr>
            <w:tcW w:type="dxa" w:w="3628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Technical options, investment and delivery capability.</w:t>
            </w:r>
          </w:p>
        </w:tc>
        <w:tc>
          <w:tcPr>
            <w:tcW w:type="dxa" w:w="3912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Open competition and conflict-of-interest control.</w:t>
            </w:r>
          </w:p>
        </w:tc>
      </w:tr>
      <w:tr>
        <w:tc>
          <w:tcPr>
            <w:tcW w:type="dxa" w:w="1871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Benefit sharing</w:t>
            </w:r>
          </w:p>
        </w:tc>
        <w:tc>
          <w:tcPr>
            <w:tcW w:type="dxa" w:w="3628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Jobs, skills, tax, services and local value chains.</w:t>
            </w:r>
          </w:p>
        </w:tc>
        <w:tc>
          <w:tcPr>
            <w:tcW w:type="dxa" w:w="3912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Distributional commitments and observed results.</w:t>
            </w:r>
          </w:p>
        </w:tc>
      </w:tr>
    </w:tbl>
    <w:p>
      <w:pPr>
        <w:spacing w:after="0"/>
      </w:pP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457"/>
        <w:gridCol w:w="3457"/>
        <w:gridCol w:w="3457"/>
      </w:tblGrid>
      <w:tr>
        <w:trPr>
          <w:trHeight w:val="74"/>
        </w:trPr>
        <w:tc>
          <w:tcPr>
            <w:tcW w:type="dxa" w:w="2551"/>
            <w:shd w:fill="0087C8"/>
            <w:tcBorders>
              <w:top w:val="single" w:sz="0" w:color="0087C8"/>
              <w:left w:val="single" w:sz="0" w:color="0087C8"/>
              <w:bottom w:val="single" w:sz="0" w:color="0087C8"/>
              <w:right w:val="single" w:sz="0" w:color="0087C8"/>
              <w:insideH w:val="single" w:sz="0" w:color="0087C8"/>
              <w:insideV w:val="single" w:sz="0" w:color="0087C8"/>
            </w:tcBorders>
          </w:tcPr>
          <w:p>
            <w:pPr>
              <w:spacing w:after="0"/>
            </w:pPr>
          </w:p>
        </w:tc>
        <w:tc>
          <w:tcPr>
            <w:tcW w:type="dxa" w:w="1417"/>
            <w:shd w:fill="64D3E8"/>
            <w:tcBorders>
              <w:top w:val="single" w:sz="0" w:color="64D3E8"/>
              <w:left w:val="single" w:sz="0" w:color="64D3E8"/>
              <w:bottom w:val="single" w:sz="0" w:color="64D3E8"/>
              <w:right w:val="single" w:sz="0" w:color="64D3E8"/>
              <w:insideH w:val="single" w:sz="0" w:color="64D3E8"/>
              <w:insideV w:val="single" w:sz="0" w:color="64D3E8"/>
            </w:tcBorders>
          </w:tcPr>
          <w:p>
            <w:pPr>
              <w:spacing w:after="0"/>
            </w:pPr>
          </w:p>
        </w:tc>
        <w:tc>
          <w:tcPr>
            <w:tcW w:type="dxa" w:w="1701"/>
            <w:shd w:fill="112332"/>
            <w:tcBorders>
              <w:top w:val="single" w:sz="0" w:color="112332"/>
              <w:left w:val="single" w:sz="0" w:color="112332"/>
              <w:bottom w:val="single" w:sz="0" w:color="112332"/>
              <w:right w:val="single" w:sz="0" w:color="112332"/>
              <w:insideH w:val="single" w:sz="0" w:color="112332"/>
              <w:insideV w:val="single" w:sz="0" w:color="112332"/>
            </w:tcBorders>
          </w:tcPr>
          <w:p>
            <w:pPr>
              <w:spacing w:after="0"/>
            </w:pPr>
          </w:p>
        </w:tc>
      </w:tr>
    </w:tbl>
    <w:p>
      <w:pPr>
        <w:spacing w:before="40" w:after="100"/>
      </w:pPr>
      <w:r>
        <w:rPr>
          <w:b/>
          <w:color w:val="006A9E"/>
          <w:sz w:val="15"/>
        </w:rPr>
        <w:t>FISCAL AND TIME HORIZONS</w:t>
      </w:r>
    </w:p>
    <w:p>
      <w:pPr>
        <w:pStyle w:val="Heading1"/>
      </w:pPr>
      <w:r>
        <w:t>Prioritise without sacrificing the future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57"/>
        <w:gridCol w:w="3457"/>
        <w:gridCol w:w="3457"/>
      </w:tblGrid>
      <w:tr>
        <w:trPr>
          <w:tblHeader w:val="true"/>
        </w:trPr>
        <w:tc>
          <w:tcPr>
            <w:tcW w:type="dxa" w:w="1814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Horizon</w:t>
            </w:r>
          </w:p>
        </w:tc>
        <w:tc>
          <w:tcPr>
            <w:tcW w:type="dxa" w:w="4025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Illustrative capture sources</w:t>
            </w:r>
          </w:p>
        </w:tc>
        <w:tc>
          <w:tcPr>
            <w:tcW w:type="dxa" w:w="3572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Decision discipline</w:t>
            </w:r>
          </w:p>
        </w:tc>
      </w:tr>
      <w:tr>
        <w:tc>
          <w:tcPr>
            <w:tcW w:type="dxa" w:w="1814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Short · 0–12 months</w:t>
            </w:r>
          </w:p>
        </w:tc>
        <w:tc>
          <w:tcPr>
            <w:tcW w:type="dxa" w:w="4025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Fraud/leakage control, compliance, prevention, procurement and operational efficiency.</w:t>
            </w:r>
          </w:p>
        </w:tc>
        <w:tc>
          <w:tcPr>
            <w:tcW w:type="dxa" w:w="3572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Use quick gains to finance transition capacity; do not count avoided cost twice.</w:t>
            </w:r>
          </w:p>
        </w:tc>
      </w:tr>
      <w:tr>
        <w:tc>
          <w:tcPr>
            <w:tcW w:type="dxa" w:w="1814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Medium · 1–3 years</w:t>
            </w:r>
          </w:p>
        </w:tc>
        <w:tc>
          <w:tcPr>
            <w:tcW w:type="dxa" w:w="4025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Service redesign, workforce investment, circularity, digital public infrastructure.</w:t>
            </w:r>
          </w:p>
        </w:tc>
        <w:tc>
          <w:tcPr>
            <w:tcW w:type="dxa" w:w="3572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Link multi-year appropriations to milestones and distribution.</w:t>
            </w:r>
          </w:p>
        </w:tc>
      </w:tr>
      <w:tr>
        <w:tc>
          <w:tcPr>
            <w:tcW w:type="dxa" w:w="1814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Long · 3+ years</w:t>
            </w:r>
          </w:p>
        </w:tc>
        <w:tc>
          <w:tcPr>
            <w:tcW w:type="dxa" w:w="4025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Climate adaptation, ecosystem restoration, health, education and institutional trust.</w:t>
            </w:r>
          </w:p>
        </w:tc>
        <w:tc>
          <w:tcPr>
            <w:tcW w:type="dxa" w:w="3572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Use capital and fiscal-risk statements; protect intergenerational value.</w:t>
            </w:r>
          </w:p>
        </w:tc>
      </w:tr>
    </w:tbl>
    <w:p>
      <w:pPr>
        <w:spacing w:after="0"/>
      </w:pPr>
    </w:p>
    <w:p>
      <w:r>
        <w:t>A portfolio should be ranked only after floor tests. High short-term revenue cannot compensate for a rights breach or an irreversible ecological loss. Within the eligible portfolio, countries can balance liquidity, implementation capacity and long-term transformation.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25"/>
        <w:gridCol w:w="9524"/>
      </w:tblGrid>
      <w:tr>
        <w:tc>
          <w:tcPr>
            <w:tcW w:type="dxa" w:w="5185"/>
            <w:shd w:fill="006A9E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  <w:vAlign w:val="center"/>
          </w:tcPr>
          <w:p/>
        </w:tc>
        <w:tc>
          <w:tcPr>
            <w:tcW w:type="dxa" w:w="5185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  <w:vAlign w:val="center"/>
          </w:tcPr>
          <w:p>
            <w:pPr>
              <w:spacing w:after="60"/>
            </w:pPr>
            <w:r>
              <w:rPr>
                <w:b/>
                <w:color w:val="006A9E"/>
                <w:sz w:val="15"/>
              </w:rPr>
              <w:t>FISCAL REALISM</w:t>
            </w:r>
          </w:p>
          <w:p>
            <w:pPr>
              <w:spacing w:after="0"/>
            </w:pPr>
            <w:r>
              <w:rPr>
                <w:sz w:val="17"/>
              </w:rPr>
              <w:t>Beyond GDP measures become credible when they improve choices under constraint, reveal avoidable losses and protect assets that GDP records only after damage occurs.</w:t>
            </w:r>
          </w:p>
        </w:tc>
      </w:tr>
    </w:tbl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457"/>
        <w:gridCol w:w="3457"/>
        <w:gridCol w:w="3457"/>
      </w:tblGrid>
      <w:tr>
        <w:trPr>
          <w:trHeight w:val="74"/>
        </w:trPr>
        <w:tc>
          <w:tcPr>
            <w:tcW w:type="dxa" w:w="2551"/>
            <w:shd w:fill="0087C8"/>
            <w:tcBorders>
              <w:top w:val="single" w:sz="0" w:color="0087C8"/>
              <w:left w:val="single" w:sz="0" w:color="0087C8"/>
              <w:bottom w:val="single" w:sz="0" w:color="0087C8"/>
              <w:right w:val="single" w:sz="0" w:color="0087C8"/>
              <w:insideH w:val="single" w:sz="0" w:color="0087C8"/>
              <w:insideV w:val="single" w:sz="0" w:color="0087C8"/>
            </w:tcBorders>
          </w:tcPr>
          <w:p>
            <w:pPr>
              <w:spacing w:after="0"/>
            </w:pPr>
          </w:p>
        </w:tc>
        <w:tc>
          <w:tcPr>
            <w:tcW w:type="dxa" w:w="1417"/>
            <w:shd w:fill="64D3E8"/>
            <w:tcBorders>
              <w:top w:val="single" w:sz="0" w:color="64D3E8"/>
              <w:left w:val="single" w:sz="0" w:color="64D3E8"/>
              <w:bottom w:val="single" w:sz="0" w:color="64D3E8"/>
              <w:right w:val="single" w:sz="0" w:color="64D3E8"/>
              <w:insideH w:val="single" w:sz="0" w:color="64D3E8"/>
              <w:insideV w:val="single" w:sz="0" w:color="64D3E8"/>
            </w:tcBorders>
          </w:tcPr>
          <w:p>
            <w:pPr>
              <w:spacing w:after="0"/>
            </w:pPr>
          </w:p>
        </w:tc>
        <w:tc>
          <w:tcPr>
            <w:tcW w:type="dxa" w:w="1701"/>
            <w:shd w:fill="112332"/>
            <w:tcBorders>
              <w:top w:val="single" w:sz="0" w:color="112332"/>
              <w:left w:val="single" w:sz="0" w:color="112332"/>
              <w:bottom w:val="single" w:sz="0" w:color="112332"/>
              <w:right w:val="single" w:sz="0" w:color="112332"/>
              <w:insideH w:val="single" w:sz="0" w:color="112332"/>
              <w:insideV w:val="single" w:sz="0" w:color="112332"/>
            </w:tcBorders>
          </w:tcPr>
          <w:p>
            <w:pPr>
              <w:spacing w:after="0"/>
            </w:pPr>
          </w:p>
        </w:tc>
      </w:tr>
    </w:tbl>
    <w:p>
      <w:pPr>
        <w:spacing w:before="40" w:after="100"/>
      </w:pPr>
      <w:r>
        <w:rPr>
          <w:b/>
          <w:color w:val="006A9E"/>
          <w:sz w:val="15"/>
        </w:rPr>
        <w:t>PILOT DESIGN</w:t>
      </w:r>
    </w:p>
    <w:p>
      <w:pPr>
        <w:pStyle w:val="Heading1"/>
      </w:pPr>
      <w:r>
        <w:t>A 12–18 month national pathway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57"/>
        <w:gridCol w:w="3457"/>
        <w:gridCol w:w="3457"/>
      </w:tblGrid>
      <w:tr>
        <w:trPr>
          <w:tblHeader w:val="true"/>
        </w:trPr>
        <w:tc>
          <w:tcPr>
            <w:tcW w:type="dxa" w:w="2324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Phase</w:t>
            </w:r>
          </w:p>
        </w:tc>
        <w:tc>
          <w:tcPr>
            <w:tcW w:type="dxa" w:w="1247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Months</w:t>
            </w:r>
          </w:p>
        </w:tc>
        <w:tc>
          <w:tcPr>
            <w:tcW w:type="dxa" w:w="5839"/>
            <w:shd w:fill="112332"/>
            <w:tcBorders>
              <w:top w:val="single" w:sz="3" w:color="112332"/>
              <w:left w:val="single" w:sz="3" w:color="112332"/>
              <w:bottom w:val="single" w:sz="3" w:color="112332"/>
              <w:right w:val="single" w:sz="3" w:color="112332"/>
              <w:insideH w:val="single" w:sz="3" w:color="112332"/>
              <w:insideV w:val="single" w:sz="3" w:color="112332"/>
            </w:tcBorders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Output</w:t>
            </w:r>
          </w:p>
        </w:tc>
      </w:tr>
      <w:tr>
        <w:tc>
          <w:tcPr>
            <w:tcW w:type="dxa" w:w="2324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Mandate and baseline</w:t>
            </w:r>
          </w:p>
        </w:tc>
        <w:tc>
          <w:tcPr>
            <w:tcW w:type="dxa" w:w="1247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0–2</w:t>
            </w:r>
          </w:p>
        </w:tc>
        <w:tc>
          <w:tcPr>
            <w:tcW w:type="dxa" w:w="5839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Political mandate, institutional map, portfolio, common core and safeguards.</w:t>
            </w:r>
          </w:p>
        </w:tc>
      </w:tr>
      <w:tr>
        <w:tc>
          <w:tcPr>
            <w:tcW w:type="dxa" w:w="2324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Observation</w:t>
            </w:r>
          </w:p>
        </w:tc>
        <w:tc>
          <w:tcPr>
            <w:tcW w:type="dxa" w:w="1247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2–5</w:t>
            </w:r>
          </w:p>
        </w:tc>
        <w:tc>
          <w:tcPr>
            <w:tcW w:type="dxa" w:w="5839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OBI/NLPI/CEDI baseline, data gaps, distribution and uncertainty.</w:t>
            </w:r>
          </w:p>
        </w:tc>
      </w:tr>
      <w:tr>
        <w:tc>
          <w:tcPr>
            <w:tcW w:type="dxa" w:w="2324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Modelling and deliberation</w:t>
            </w:r>
          </w:p>
        </w:tc>
        <w:tc>
          <w:tcPr>
            <w:tcW w:type="dxa" w:w="1247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4–7</w:t>
            </w:r>
          </w:p>
        </w:tc>
        <w:tc>
          <w:tcPr>
            <w:tcW w:type="dxa" w:w="5839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Scenarios, floor tests, value capture and citizen/stakeholder review.</w:t>
            </w:r>
          </w:p>
        </w:tc>
      </w:tr>
      <w:tr>
        <w:tc>
          <w:tcPr>
            <w:tcW w:type="dxa" w:w="2324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Budget and delivery</w:t>
            </w:r>
          </w:p>
        </w:tc>
        <w:tc>
          <w:tcPr>
            <w:tcW w:type="dxa" w:w="1247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7–15</w:t>
            </w:r>
          </w:p>
        </w:tc>
        <w:tc>
          <w:tcPr>
            <w:tcW w:type="dxa" w:w="5839"/>
            <w:shd w:fill="F7FBFD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Funded decisions, contracts, milestones and public reporting.</w:t>
            </w:r>
          </w:p>
        </w:tc>
      </w:tr>
      <w:tr>
        <w:tc>
          <w:tcPr>
            <w:tcW w:type="dxa" w:w="2324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b/>
                <w:color w:val="112332"/>
                <w:sz w:val="15"/>
              </w:rPr>
              <w:t>Independent review</w:t>
            </w:r>
          </w:p>
        </w:tc>
        <w:tc>
          <w:tcPr>
            <w:tcW w:type="dxa" w:w="1247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12–18</w:t>
            </w:r>
          </w:p>
        </w:tc>
        <w:tc>
          <w:tcPr>
            <w:tcW w:type="dxa" w:w="5839"/>
            <w:tcBorders>
              <w:top w:val="single" w:sz="3" w:color="CFE2EB"/>
              <w:left w:val="single" w:sz="3" w:color="CFE2EB"/>
              <w:bottom w:val="single" w:sz="3" w:color="CFE2EB"/>
              <w:right w:val="single" w:sz="3" w:color="CFE2EB"/>
              <w:insideH w:val="single" w:sz="3" w:color="CFE2EB"/>
              <w:insideV w:val="single" w:sz="3" w:color="CFE2EB"/>
            </w:tcBorders>
          </w:tcPr>
          <w:p>
            <w:pPr>
              <w:spacing w:after="0"/>
            </w:pPr>
            <w:r>
              <w:rPr>
                <w:color w:val="567080"/>
                <w:sz w:val="15"/>
              </w:rPr>
              <w:t>Observed results, cost, legitimacy, model error and scale decision.</w:t>
            </w:r>
          </w:p>
        </w:tc>
      </w:tr>
    </w:tbl>
    <w:p>
      <w:pPr>
        <w:spacing w:after="0"/>
      </w:pPr>
    </w:p>
    <w:p>
      <w:pPr>
        <w:pStyle w:val="ListBullet"/>
        <w:spacing w:after="40"/>
        <w:ind w:left="255" w:hanging="113"/>
      </w:pPr>
      <w:r>
        <w:t>Select contrasting policy areas so the method is stress-tested.</w:t>
      </w:r>
    </w:p>
    <w:p>
      <w:pPr>
        <w:pStyle w:val="ListBullet"/>
        <w:spacing w:after="40"/>
        <w:ind w:left="255" w:hanging="113"/>
      </w:pPr>
      <w:r>
        <w:t>Include local and intermediary bodies in observation and delivery.</w:t>
      </w:r>
    </w:p>
    <w:p>
      <w:pPr>
        <w:pStyle w:val="ListBullet"/>
        <w:spacing w:after="40"/>
        <w:ind w:left="255" w:hanging="113"/>
      </w:pPr>
      <w:r>
        <w:t>Fund participation and data stewardship as core infrastructure.</w:t>
      </w:r>
    </w:p>
    <w:p>
      <w:pPr>
        <w:pStyle w:val="ListBullet"/>
        <w:spacing w:after="40"/>
        <w:ind w:left="255" w:hanging="113"/>
      </w:pPr>
      <w:r>
        <w:t>Pre-register learning questions and evaluation criteria.</w:t>
      </w:r>
    </w:p>
    <w:p>
      <w:pPr>
        <w:pStyle w:val="ListBullet"/>
        <w:spacing w:after="40"/>
        <w:ind w:left="255" w:hanging="113"/>
      </w:pPr>
      <w:r>
        <w:t>Publish negative findings and failed assumptions.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457"/>
        <w:gridCol w:w="3457"/>
        <w:gridCol w:w="3457"/>
      </w:tblGrid>
      <w:tr>
        <w:trPr>
          <w:trHeight w:val="74"/>
        </w:trPr>
        <w:tc>
          <w:tcPr>
            <w:tcW w:type="dxa" w:w="2551"/>
            <w:shd w:fill="0087C8"/>
            <w:tcBorders>
              <w:top w:val="single" w:sz="0" w:color="0087C8"/>
              <w:left w:val="single" w:sz="0" w:color="0087C8"/>
              <w:bottom w:val="single" w:sz="0" w:color="0087C8"/>
              <w:right w:val="single" w:sz="0" w:color="0087C8"/>
              <w:insideH w:val="single" w:sz="0" w:color="0087C8"/>
              <w:insideV w:val="single" w:sz="0" w:color="0087C8"/>
            </w:tcBorders>
          </w:tcPr>
          <w:p>
            <w:pPr>
              <w:spacing w:after="0"/>
            </w:pPr>
          </w:p>
        </w:tc>
        <w:tc>
          <w:tcPr>
            <w:tcW w:type="dxa" w:w="1417"/>
            <w:shd w:fill="64D3E8"/>
            <w:tcBorders>
              <w:top w:val="single" w:sz="0" w:color="64D3E8"/>
              <w:left w:val="single" w:sz="0" w:color="64D3E8"/>
              <w:bottom w:val="single" w:sz="0" w:color="64D3E8"/>
              <w:right w:val="single" w:sz="0" w:color="64D3E8"/>
              <w:insideH w:val="single" w:sz="0" w:color="64D3E8"/>
              <w:insideV w:val="single" w:sz="0" w:color="64D3E8"/>
            </w:tcBorders>
          </w:tcPr>
          <w:p>
            <w:pPr>
              <w:spacing w:after="0"/>
            </w:pPr>
          </w:p>
        </w:tc>
        <w:tc>
          <w:tcPr>
            <w:tcW w:type="dxa" w:w="1701"/>
            <w:shd w:fill="112332"/>
            <w:tcBorders>
              <w:top w:val="single" w:sz="0" w:color="112332"/>
              <w:left w:val="single" w:sz="0" w:color="112332"/>
              <w:bottom w:val="single" w:sz="0" w:color="112332"/>
              <w:right w:val="single" w:sz="0" w:color="112332"/>
              <w:insideH w:val="single" w:sz="0" w:color="112332"/>
              <w:insideV w:val="single" w:sz="0" w:color="112332"/>
            </w:tcBorders>
          </w:tcPr>
          <w:p>
            <w:pPr>
              <w:spacing w:after="0"/>
            </w:pPr>
          </w:p>
        </w:tc>
      </w:tr>
    </w:tbl>
    <w:p>
      <w:pPr>
        <w:spacing w:before="40" w:after="100"/>
      </w:pPr>
      <w:r>
        <w:rPr>
          <w:b/>
          <w:color w:val="006A9E"/>
          <w:sz w:val="15"/>
        </w:rPr>
        <w:t>RECOMMENDATIONS AND SOURCES</w:t>
      </w:r>
    </w:p>
    <w:p>
      <w:pPr>
        <w:pStyle w:val="Heading1"/>
      </w:pPr>
      <w:r>
        <w:t>National implementation compact</w:t>
      </w:r>
    </w:p>
    <w:p>
      <w:pPr>
        <w:pStyle w:val="ListNumber"/>
        <w:spacing w:after="60"/>
        <w:ind w:left="283" w:hanging="113"/>
      </w:pPr>
      <w:r>
        <w:t>Embed Beyond GDP in existing planning and budget calendars.</w:t>
      </w:r>
    </w:p>
    <w:p>
      <w:pPr>
        <w:pStyle w:val="ListNumber"/>
        <w:spacing w:after="60"/>
        <w:ind w:left="283" w:hanging="113"/>
      </w:pPr>
      <w:r>
        <w:t>Give national statistical offices stewardship, not policy authority.</w:t>
      </w:r>
    </w:p>
    <w:p>
      <w:pPr>
        <w:pStyle w:val="ListNumber"/>
        <w:spacing w:after="60"/>
        <w:ind w:left="283" w:hanging="113"/>
      </w:pPr>
      <w:r>
        <w:t>Use a public scenario ledger across evidence, law, budget and delivery.</w:t>
      </w:r>
    </w:p>
    <w:p>
      <w:pPr>
        <w:pStyle w:val="ListNumber"/>
        <w:spacing w:after="60"/>
        <w:ind w:left="283" w:hanging="113"/>
      </w:pPr>
      <w:r>
        <w:t>Distinguish potential, capturable and observed value at each horizon.</w:t>
      </w:r>
    </w:p>
    <w:p>
      <w:pPr>
        <w:pStyle w:val="ListNumber"/>
        <w:spacing w:after="60"/>
        <w:ind w:left="283" w:hanging="113"/>
      </w:pPr>
      <w:r>
        <w:t>Bring firms and intermediary bodies into delivery under transparent safeguards.</w:t>
      </w:r>
    </w:p>
    <w:p>
      <w:pPr>
        <w:pStyle w:val="ListNumber"/>
        <w:spacing w:after="60"/>
        <w:ind w:left="283" w:hanging="113"/>
      </w:pPr>
      <w:r>
        <w:t>Evaluate the full institutional routine before scaling any index.</w:t>
      </w:r>
    </w:p>
    <w:p>
      <w:pPr>
        <w:pStyle w:val="Heading2"/>
      </w:pPr>
      <w:r>
        <w:t>Selected references</w:t>
      </w:r>
    </w:p>
    <w:p>
      <w:pPr>
        <w:spacing w:after="40"/>
        <w:ind w:left="227" w:hanging="227"/>
      </w:pPr>
      <w:r>
        <w:rPr>
          <w:b/>
          <w:color w:val="006A9E"/>
          <w:sz w:val="14"/>
        </w:rPr>
        <w:t xml:space="preserve">[1] </w:t>
      </w:r>
      <w:r>
        <w:rPr>
          <w:sz w:val="14"/>
        </w:rPr>
        <w:t xml:space="preserve">United Nations, Beyond GDP consultation and call for inputs (2026). </w:t>
      </w:r>
      <w:hyperlink r:id="rId13">
        <w:r>
          <w:rPr>
            <w:color w:val="006A9E"/>
            <w:u w:val="single"/>
          </w:rPr>
          <w:t>https://www.un.org/en/beyondGDP/consultations</w:t>
        </w:r>
      </w:hyperlink>
    </w:p>
    <w:p>
      <w:pPr>
        <w:spacing w:after="40"/>
        <w:ind w:left="227" w:hanging="227"/>
      </w:pPr>
      <w:r>
        <w:rPr>
          <w:b/>
          <w:color w:val="006A9E"/>
          <w:sz w:val="14"/>
        </w:rPr>
        <w:t xml:space="preserve">[2] </w:t>
      </w:r>
      <w:r>
        <w:rPr>
          <w:sz w:val="14"/>
        </w:rPr>
        <w:t xml:space="preserve">UN Secretary-General’s Independent High-Level Expert Group, Counting What Counts: A Compass of Progress for People and Planet (2026). </w:t>
      </w:r>
      <w:hyperlink r:id="rId14">
        <w:r>
          <w:rPr>
            <w:color w:val="006A9E"/>
            <w:u w:val="single"/>
          </w:rPr>
          <w:t>https://www.un.org/sites/un2.un.org/files/high-level_expert_group_on_beyond_gdp_final_report.pdf</w:t>
        </w:r>
      </w:hyperlink>
    </w:p>
    <w:p>
      <w:pPr>
        <w:spacing w:after="40"/>
        <w:ind w:left="227" w:hanging="227"/>
      </w:pPr>
      <w:r>
        <w:rPr>
          <w:b/>
          <w:color w:val="006A9E"/>
          <w:sz w:val="14"/>
        </w:rPr>
        <w:t xml:space="preserve">[3] </w:t>
      </w:r>
      <w:r>
        <w:rPr>
          <w:sz w:val="14"/>
        </w:rPr>
        <w:t xml:space="preserve">United Nations, Beyond GDP consultation — guiding questions (2026). </w:t>
      </w:r>
      <w:hyperlink r:id="rId15">
        <w:r>
          <w:rPr>
            <w:color w:val="006A9E"/>
            <w:u w:val="single"/>
          </w:rPr>
          <w:t>https://www.un.org/sites/un2.un.org/files/fin-guiding_questions_for_the_intergovernmental_process_on_beyond_gdp.docx</w:t>
        </w:r>
      </w:hyperlink>
    </w:p>
    <w:p>
      <w:pPr>
        <w:spacing w:after="40"/>
        <w:ind w:left="227" w:hanging="227"/>
      </w:pPr>
      <w:r>
        <w:rPr>
          <w:b/>
          <w:color w:val="006A9E"/>
          <w:sz w:val="14"/>
        </w:rPr>
        <w:t xml:space="preserve">[5] </w:t>
      </w:r>
      <w:r>
        <w:rPr>
          <w:sz w:val="14"/>
        </w:rPr>
        <w:t xml:space="preserve">United Nations Statistics Division, The Sustainable Development Goals Report 2025. </w:t>
      </w:r>
      <w:hyperlink r:id="rId16">
        <w:r>
          <w:rPr>
            <w:color w:val="006A9E"/>
            <w:u w:val="single"/>
          </w:rPr>
          <w:t>https://unstats.un.org/sdgs/report/2025/The-Sustainable-Development-Goals-Report-2025.pdf</w:t>
        </w:r>
      </w:hyperlink>
    </w:p>
    <w:p>
      <w:pPr>
        <w:spacing w:after="40"/>
        <w:ind w:left="227" w:hanging="227"/>
      </w:pPr>
      <w:r>
        <w:rPr>
          <w:b/>
          <w:color w:val="006A9E"/>
          <w:sz w:val="14"/>
        </w:rPr>
        <w:t xml:space="preserve">[6] </w:t>
      </w:r>
      <w:r>
        <w:rPr>
          <w:sz w:val="14"/>
        </w:rPr>
        <w:t xml:space="preserve">United Nations, Multidimensional Vulnerability Index: Final Report (2024). </w:t>
      </w:r>
      <w:hyperlink r:id="rId17">
        <w:r>
          <w:rPr>
            <w:color w:val="006A9E"/>
            <w:u w:val="single"/>
          </w:rPr>
          <w:t>https://sdgs.un.org/sites/default/files/2024-02/Final_MVI_report.pdf</w:t>
        </w:r>
      </w:hyperlink>
    </w:p>
    <w:p>
      <w:pPr>
        <w:spacing w:after="40"/>
        <w:ind w:left="227" w:hanging="227"/>
      </w:pPr>
      <w:r>
        <w:rPr>
          <w:b/>
          <w:color w:val="006A9E"/>
          <w:sz w:val="14"/>
        </w:rPr>
        <w:t xml:space="preserve">[7] </w:t>
      </w:r>
      <w:r>
        <w:rPr>
          <w:sz w:val="14"/>
        </w:rPr>
        <w:t xml:space="preserve">Fourth International Conference on Financing for Development, Sevilla Commitment (2025). </w:t>
      </w:r>
      <w:hyperlink r:id="rId18">
        <w:r>
          <w:rPr>
            <w:color w:val="006A9E"/>
            <w:u w:val="single"/>
          </w:rPr>
          <w:t>https://financing.desa.un.org/sites/default/files/2025-08/FFD4%20Outcome%20Booklet%20v4_EN%20-%20spread.pdf</w:t>
        </w:r>
      </w:hyperlink>
    </w:p>
    <w:p>
      <w:pPr>
        <w:spacing w:after="40"/>
        <w:ind w:left="227" w:hanging="227"/>
      </w:pPr>
      <w:r>
        <w:rPr>
          <w:b/>
          <w:color w:val="006A9E"/>
          <w:sz w:val="14"/>
        </w:rPr>
        <w:t xml:space="preserve">[8] </w:t>
      </w:r>
      <w:r>
        <w:rPr>
          <w:sz w:val="14"/>
        </w:rPr>
        <w:t xml:space="preserve">United Nations Statistics Division, System of Environmental-Economic Accounting — Ecosystem Accounting. </w:t>
      </w:r>
      <w:hyperlink r:id="rId19">
        <w:r>
          <w:rPr>
            <w:color w:val="006A9E"/>
            <w:u w:val="single"/>
          </w:rPr>
          <w:t>https://unstats.un.org/unsd/statcom/53rd-session/documents/BG-3l-implementation-strategy-for-the-SEEA-ecosystem-accounting-E.pdf</w:t>
        </w:r>
      </w:hyperlink>
    </w:p>
    <w:p>
      <w:pPr>
        <w:spacing w:after="40"/>
        <w:ind w:left="227" w:hanging="227"/>
      </w:pPr>
      <w:r>
        <w:rPr>
          <w:b/>
          <w:color w:val="006A9E"/>
          <w:sz w:val="14"/>
        </w:rPr>
        <w:t xml:space="preserve">[10] </w:t>
      </w:r>
      <w:r>
        <w:rPr>
          <w:sz w:val="14"/>
        </w:rPr>
        <w:t xml:space="preserve">United Nations Statistics Division, Copenhagen Framework on Citizen Data (2024). </w:t>
      </w:r>
      <w:hyperlink r:id="rId20">
        <w:r>
          <w:rPr>
            <w:color w:val="006A9E"/>
            <w:u w:val="single"/>
          </w:rPr>
          <w:t>https://unstats.un.org/UNSDWebsite/statcom/session_55/documents/BG-4c-CGD_Framework-E.pdf</w:t>
        </w:r>
      </w:hyperlink>
    </w:p>
    <w:sectPr w:rsidR="00FC693F" w:rsidRPr="0006063C" w:rsidSect="00034616">
      <w:headerReference w:type="default" r:id="rId9"/>
      <w:footerReference w:type="default" r:id="rId10"/>
      <w:pgSz w:w="12240" w:h="15840"/>
      <w:pgMar w:top="879" w:right="935" w:bottom="765" w:left="935" w:header="312" w:footer="31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3456"/>
      <w:gridCol w:w="3168"/>
      <w:gridCol w:w="3456"/>
    </w:tblGrid>
    <w:tr>
      <w:tc>
        <w:tcPr>
          <w:tcW w:type="dxa" w:w="3360"/>
          <w:tcBorders>
            <w:top w:val="single" w:sz="0" w:color="FFFFFF"/>
            <w:left w:val="single" w:sz="0" w:color="FFFFFF"/>
            <w:bottom w:val="single" w:sz="0" w:color="FFFFFF"/>
            <w:right w:val="single" w:sz="0" w:color="FFFFFF"/>
            <w:insideH w:val="single" w:sz="0" w:color="FFFFFF"/>
            <w:insideV w:val="single" w:sz="0" w:color="FFFFFF"/>
          </w:tcBorders>
        </w:tcPr>
        <w:p>
          <w:r>
            <w:rPr>
              <w:color w:val="567080"/>
              <w:sz w:val="14"/>
            </w:rPr>
            <w:t>CCOP · Beyond GDP</w:t>
          </w:r>
        </w:p>
      </w:tc>
      <w:tc>
        <w:tcPr>
          <w:tcW w:type="dxa" w:w="3360"/>
          <w:tcBorders>
            <w:top w:val="single" w:sz="0" w:color="FFFFFF"/>
            <w:left w:val="single" w:sz="0" w:color="FFFFFF"/>
            <w:bottom w:val="single" w:sz="0" w:color="FFFFFF"/>
            <w:right w:val="single" w:sz="0" w:color="FFFFFF"/>
            <w:insideH w:val="single" w:sz="0" w:color="FFFFFF"/>
            <w:insideV w:val="single" w:sz="0" w:color="FFFFFF"/>
          </w:tcBorders>
        </w:tcPr>
        <w:p>
          <w:pPr>
            <w:jc w:val="center"/>
          </w:pPr>
          <w:r>
            <w:rPr>
              <w:color w:val="567080"/>
              <w:sz w:val="14"/>
            </w:rPr>
            <w:t>July 2026</w:t>
          </w:r>
        </w:p>
      </w:tc>
      <w:tc>
        <w:tcPr>
          <w:tcW w:type="dxa" w:w="3360"/>
          <w:tcBorders>
            <w:top w:val="single" w:sz="0" w:color="FFFFFF"/>
            <w:left w:val="single" w:sz="0" w:color="FFFFFF"/>
            <w:bottom w:val="single" w:sz="0" w:color="FFFFFF"/>
            <w:right w:val="single" w:sz="0" w:color="FFFFFF"/>
            <w:insideH w:val="single" w:sz="0" w:color="FFFFFF"/>
            <w:insideV w:val="single" w:sz="0" w:color="FFFFFF"/>
          </w:tcBorders>
        </w:tcPr>
        <w:p>
          <w:pPr>
            <w:jc w:val="right"/>
          </w:pPr>
          <w:r>
            <w:rPr>
              <w:color w:val="567080"/>
              <w:sz w:val="14"/>
            </w:rPr>
            <w:t xml:space="preserve">Page </w:t>
            <w:fldChar w:fldCharType="begin"/>
            <w:instrText xml:space="preserve">PAGE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5040"/>
      <w:gridCol w:w="5040"/>
    </w:tblGrid>
    <w:tr>
      <w:tc>
        <w:tcPr>
          <w:tcW w:type="dxa" w:w="5040"/>
          <w:tcBorders>
            <w:top w:val="single" w:sz="0" w:color="FFFFFF"/>
            <w:left w:val="single" w:sz="0" w:color="FFFFFF"/>
            <w:bottom w:val="single" w:sz="0" w:color="FFFFFF"/>
            <w:right w:val="single" w:sz="0" w:color="FFFFFF"/>
            <w:insideH w:val="single" w:sz="0" w:color="FFFFFF"/>
            <w:insideV w:val="single" w:sz="0" w:color="FFFFFF"/>
          </w:tcBorders>
        </w:tcPr>
        <w:p>
          <w:r>
            <w:rPr>
              <w:b/>
              <w:color w:val="0087C8"/>
              <w:sz w:val="18"/>
            </w:rPr>
            <w:t>LUMEN</w:t>
          </w:r>
        </w:p>
      </w:tc>
      <w:tc>
        <w:tcPr>
          <w:tcW w:type="dxa" w:w="5040"/>
          <w:tcBorders>
            <w:top w:val="single" w:sz="0" w:color="FFFFFF"/>
            <w:left w:val="single" w:sz="0" w:color="FFFFFF"/>
            <w:bottom w:val="single" w:sz="0" w:color="FFFFFF"/>
            <w:right w:val="single" w:sz="0" w:color="FFFFFF"/>
            <w:insideH w:val="single" w:sz="0" w:color="FFFFFF"/>
            <w:insideV w:val="single" w:sz="0" w:color="FFFFFF"/>
          </w:tcBorders>
        </w:tcPr>
        <w:p>
          <w:pPr>
            <w:jc w:val="right"/>
          </w:pPr>
          <w:r>
            <w:rPr>
              <w:color w:val="567080"/>
              <w:sz w:val="15"/>
            </w:rPr>
            <w:t>Technical brief 3 · National implementation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Arial" w:hAnsi="Arial"/>
      <w:color w:val="112332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0" w:after="180"/>
      <w:outlineLvl w:val="0"/>
    </w:pPr>
    <w:rPr>
      <w:rFonts w:asciiTheme="majorHAnsi" w:eastAsiaTheme="majorEastAsia" w:hAnsiTheme="majorHAnsi" w:cstheme="majorBidi" w:ascii="Arial" w:hAnsi="Arial"/>
      <w:b/>
      <w:bCs/>
      <w:color w:val="112332"/>
      <w:sz w:val="4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006A9E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00" w:after="60"/>
      <w:outlineLvl w:val="2"/>
    </w:pPr>
    <w:rPr>
      <w:rFonts w:asciiTheme="majorHAnsi" w:eastAsiaTheme="majorEastAsia" w:hAnsiTheme="majorHAnsi" w:cstheme="majorBidi" w:ascii="Arial" w:hAnsi="Arial"/>
      <w:b/>
      <w:bCs/>
      <w:color w:val="112332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20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color w:val="112332"/>
      <w:spacing w:val="5"/>
      <w:kern w:val="28"/>
      <w:sz w:val="6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280"/>
    </w:pPr>
    <w:rPr>
      <w:rFonts w:asciiTheme="majorHAnsi" w:eastAsiaTheme="majorEastAsia" w:hAnsiTheme="majorHAnsi" w:cstheme="majorBidi" w:ascii="Arial" w:hAnsi="Arial"/>
      <w:b w:val="0"/>
      <w:i/>
      <w:iCs/>
      <w:color w:val="567080"/>
      <w:spacing w:val="15"/>
      <w:sz w:val="2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cop.world/data/files/un/lumen_beyondgdp.html" TargetMode="External"/><Relationship Id="rId12" Type="http://schemas.openxmlformats.org/officeDocument/2006/relationships/image" Target="media/image1.png"/><Relationship Id="rId13" Type="http://schemas.openxmlformats.org/officeDocument/2006/relationships/hyperlink" Target="https://www.un.org/en/beyondGDP/consultations" TargetMode="External"/><Relationship Id="rId14" Type="http://schemas.openxmlformats.org/officeDocument/2006/relationships/hyperlink" Target="https://www.un.org/sites/un2.un.org/files/high-level_expert_group_on_beyond_gdp_final_report.pdf" TargetMode="External"/><Relationship Id="rId15" Type="http://schemas.openxmlformats.org/officeDocument/2006/relationships/hyperlink" Target="https://www.un.org/sites/un2.un.org/files/fin-guiding_questions_for_the_intergovernmental_process_on_beyond_gdp.docx" TargetMode="External"/><Relationship Id="rId16" Type="http://schemas.openxmlformats.org/officeDocument/2006/relationships/hyperlink" Target="https://unstats.un.org/sdgs/report/2025/The-Sustainable-Development-Goals-Report-2025.pdf" TargetMode="External"/><Relationship Id="rId17" Type="http://schemas.openxmlformats.org/officeDocument/2006/relationships/hyperlink" Target="https://sdgs.un.org/sites/default/files/2024-02/Final_MVI_report.pdf" TargetMode="External"/><Relationship Id="rId18" Type="http://schemas.openxmlformats.org/officeDocument/2006/relationships/hyperlink" Target="https://financing.desa.un.org/sites/default/files/2025-08/FFD4%20Outcome%20Booklet%20v4_EN%20-%20spread.pdf" TargetMode="External"/><Relationship Id="rId19" Type="http://schemas.openxmlformats.org/officeDocument/2006/relationships/hyperlink" Target="https://unstats.un.org/unsd/statcom/53rd-session/documents/BG-3l-implementation-strategy-for-the-SEEA-ecosystem-accounting-E.pdf" TargetMode="External"/><Relationship Id="rId20" Type="http://schemas.openxmlformats.org/officeDocument/2006/relationships/hyperlink" Target="https://unstats.un.org/UNSDWebsite/statcom/session_55/documents/BG-4c-CGD_Framework-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