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after="760"/>
      </w:pPr>
    </w:p>
    <w:p>
      <w:pPr>
        <w:spacing w:before="40" w:after="100"/>
      </w:pPr>
      <w:r>
        <w:rPr>
          <w:b/>
          <w:color w:val="006A9E"/>
          <w:sz w:val="15"/>
        </w:rPr>
        <w:t>LUMEN TECHNICAL BRIEF 4</w:t>
      </w:r>
    </w:p>
    <w:p>
      <w:pPr>
        <w:pStyle w:val="Title"/>
      </w:pPr>
      <w:r>
        <w:t>International policy applications</w:t>
      </w:r>
    </w:p>
    <w:p>
      <w:pPr>
        <w:pStyle w:val="Subtitle"/>
      </w:pPr>
      <w:r>
        <w:t>A rule-of-law pathway for cooperation, finance and the post-2030 architecture</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TECHNICAL BRIEF</w:t>
            </w:r>
          </w:p>
          <w:p>
            <w:pPr>
              <w:spacing w:after="0"/>
            </w:pPr>
            <w:r>
              <w:rPr>
                <w:sz w:val="17"/>
              </w:rPr>
              <w:t>Prepared for the United Nations Beyond GDP consultation · 11 pages · English contribution</w:t>
            </w:r>
          </w:p>
        </w:tc>
      </w:tr>
    </w:tbl>
    <w:p>
      <w:pPr>
        <w:spacing w:after="40"/>
      </w:pPr>
    </w:p>
    <w:tbl>
      <w:tblPr>
        <w:tblW w:type="auto" w:w="0"/>
        <w:tblLayout w:type="fixed"/>
        <w:tblLook w:firstColumn="1" w:firstRow="1" w:lastColumn="0" w:lastRow="0" w:noHBand="0" w:noVBand="1" w:val="04A0"/>
      </w:tblPr>
      <w:tblGrid>
        <w:gridCol w:w="159"/>
        <w:gridCol w:w="9479"/>
      </w:tblGrid>
      <w:tr>
        <w:tc>
          <w:tcPr>
            <w:tcW w:type="dxa" w:w="5185"/>
            <w:shd w:fill="64D3E8"/>
            <w:tcBorders>
              <w:top w:val="single" w:sz="5" w:color="64D3E8"/>
              <w:left w:val="single" w:sz="5" w:color="64D3E8"/>
              <w:bottom w:val="single" w:sz="5" w:color="64D3E8"/>
              <w:right w:val="single" w:sz="5" w:color="64D3E8"/>
              <w:insideH w:val="single" w:sz="5" w:color="64D3E8"/>
              <w:insideV w:val="single" w:sz="5" w:color="64D3E8"/>
            </w:tcBorders>
            <w:vAlign w:val="center"/>
          </w:tcPr>
          <w:p/>
        </w:tc>
        <w:tc>
          <w:tcPr>
            <w:tcW w:type="dxa" w:w="5185"/>
            <w:shd w:fill="F7FBFD"/>
            <w:tcBorders>
              <w:top w:val="single" w:sz="5" w:color="64D3E8"/>
              <w:left w:val="single" w:sz="5" w:color="64D3E8"/>
              <w:bottom w:val="single" w:sz="5" w:color="64D3E8"/>
              <w:right w:val="single" w:sz="5" w:color="64D3E8"/>
              <w:insideH w:val="single" w:sz="5" w:color="64D3E8"/>
              <w:insideV w:val="single" w:sz="5" w:color="64D3E8"/>
            </w:tcBorders>
            <w:vAlign w:val="center"/>
          </w:tcPr>
          <w:p>
            <w:pPr>
              <w:spacing w:after="80"/>
            </w:pPr>
            <w:r>
              <w:rPr>
                <w:b/>
                <w:color w:val="006A9E"/>
                <w:sz w:val="19"/>
              </w:rPr>
              <w:t>EXPLORE THE INTERACTIVE DEMONSTRATORS</w:t>
            </w:r>
          </w:p>
          <w:p>
            <w:pPr>
              <w:spacing w:after="40"/>
            </w:pPr>
            <w:hyperlink r:id="rId11">
              <w:r>
                <w:rPr>
                  <w:color w:val="006A9E"/>
                  <w:u w:val="single"/>
                  <w:sz w:val="23"/>
                  <w:szCs w:val="23"/>
                </w:rPr>
                <w:t>https://ccop.world/data/files/un/lumen_beyondgdp.html</w:t>
              </w:r>
            </w:hyperlink>
          </w:p>
          <w:p>
            <w:pPr>
              <w:spacing w:after="0"/>
            </w:pPr>
            <w:r>
              <w:rPr>
                <w:color w:val="567080"/>
                <w:sz w:val="17"/>
              </w:rPr>
              <w:t>Live LUMEN minisite: architecture, OBI, NLPI, CEDI and implementation modules.</w:t>
            </w:r>
          </w:p>
        </w:tc>
      </w:tr>
    </w:tbl>
    <w:p>
      <w:pPr>
        <w:spacing w:after="880"/>
      </w:pPr>
    </w:p>
    <w:tbl>
      <w:tblPr>
        <w:tblW w:type="auto" w:w="0"/>
        <w:tblLayout w:type="fixed"/>
        <w:tblLook w:firstColumn="1" w:firstRow="1" w:lastColumn="0" w:lastRow="0" w:noHBand="0" w:noVBand="1" w:val="04A0"/>
      </w:tblPr>
      <w:tblGrid>
        <w:gridCol w:w="5185"/>
        <w:gridCol w:w="5185"/>
      </w:tblGrid>
      <w:tr>
        <w:tc>
          <w:tcPr>
            <w:tcW w:type="dxa" w:w="238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567080"/>
                <w:sz w:val="15"/>
              </w:rPr>
              <w:t>SUBMITTED BY</w:t>
            </w:r>
          </w:p>
        </w:tc>
        <w:tc>
          <w:tcPr>
            <w:tcW w:type="dxa" w:w="6973"/>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sz w:val="18"/>
              </w:rPr>
              <w:t>Citizen Conference Of Parties (CCOP)</w:t>
            </w:r>
          </w:p>
        </w:tc>
      </w:tr>
      <w:tr>
        <w:tc>
          <w:tcPr>
            <w:tcW w:type="dxa" w:w="2381"/>
            <w:tcBorders>
              <w:top w:val="single" w:sz="3" w:color="CFE2EB"/>
              <w:left w:val="single" w:sz="3" w:color="CFE2EB"/>
              <w:bottom w:val="single" w:sz="3" w:color="CFE2EB"/>
              <w:right w:val="single" w:sz="3" w:color="CFE2EB"/>
              <w:insideH w:val="single" w:sz="3" w:color="CFE2EB"/>
              <w:insideV w:val="single" w:sz="3" w:color="CFE2EB"/>
            </w:tcBorders>
            <w:shd w:fill="F7FBFD"/>
          </w:tcPr>
          <w:p>
            <w:pPr>
              <w:spacing w:after="0"/>
            </w:pPr>
            <w:r>
              <w:rPr>
                <w:b/>
                <w:color w:val="567080"/>
                <w:sz w:val="15"/>
              </w:rPr>
              <w:t>AUTHOR</w:t>
            </w:r>
          </w:p>
        </w:tc>
        <w:tc>
          <w:tcPr>
            <w:tcW w:type="dxa" w:w="6973"/>
            <w:tcBorders>
              <w:top w:val="single" w:sz="3" w:color="CFE2EB"/>
              <w:left w:val="single" w:sz="3" w:color="CFE2EB"/>
              <w:bottom w:val="single" w:sz="3" w:color="CFE2EB"/>
              <w:right w:val="single" w:sz="3" w:color="CFE2EB"/>
              <w:insideH w:val="single" w:sz="3" w:color="CFE2EB"/>
              <w:insideV w:val="single" w:sz="3" w:color="CFE2EB"/>
            </w:tcBorders>
            <w:shd w:fill="F7FBFD"/>
          </w:tcPr>
          <w:p>
            <w:pPr>
              <w:spacing w:after="0"/>
            </w:pPr>
            <w:r>
              <w:rPr>
                <w:b/>
                <w:sz w:val="18"/>
              </w:rPr>
              <w:t>Nicolas Gros de Seta</w:t>
            </w:r>
          </w:p>
        </w:tc>
      </w:tr>
      <w:tr>
        <w:tc>
          <w:tcPr>
            <w:tcW w:type="dxa" w:w="238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567080"/>
                <w:sz w:val="15"/>
              </w:rPr>
              <w:t>PROGRAMME</w:t>
            </w:r>
          </w:p>
        </w:tc>
        <w:tc>
          <w:tcPr>
            <w:tcW w:type="dxa" w:w="6973"/>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sz w:val="18"/>
              </w:rPr>
              <w:t>LUMEN</w:t>
            </w:r>
          </w:p>
        </w:tc>
      </w:tr>
    </w:tbl>
    <w:p/>
    <w:p>
      <w:pPr>
        <w:jc w:val="right"/>
      </w:pPr>
      <w:r>
        <w:rPr>
          <w:b/>
          <w:color w:val="006A9E"/>
          <w:sz w:val="20"/>
        </w:rPr>
        <w:t>July 2026</w:t>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EXECUTIVE ANSWER</w:t>
      </w:r>
    </w:p>
    <w:p>
      <w:pPr>
        <w:pStyle w:val="Heading1"/>
      </w:pPr>
      <w:r>
        <w:t>A protocol for fair use, not a global league table</w:t>
      </w:r>
    </w:p>
    <w:p>
      <w:r>
        <w:t>Beyond GDP measures can improve international policy when they reveal vulnerability, resilience, distribution, spillovers, legal commitments and delivery capacity. They become dangerous when compressed into an opaque score that automatically determines finance or status.</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INTERNATIONAL PROPOSITION</w:t>
            </w:r>
          </w:p>
          <w:p>
            <w:pPr>
              <w:spacing w:after="0"/>
            </w:pPr>
            <w:r>
              <w:rPr>
                <w:sz w:val="17"/>
              </w:rPr>
              <w:t>Use LUMEN as a transparent decision protocol: shared safeguards and metadata, country-owned dashboards, explicit legal basis, documented judgement, appeal and review.</w:t>
            </w:r>
          </w:p>
        </w:tc>
      </w:tr>
    </w:tbl>
    <w:p>
      <w:pPr>
        <w:pStyle w:val="ListBullet"/>
        <w:spacing w:after="80"/>
        <w:ind w:left="255" w:hanging="113"/>
      </w:pPr>
      <w:r>
        <w:t>Comparability applies to concepts, metadata, process integrity and selected common indicators.</w:t>
      </w:r>
    </w:p>
    <w:p>
      <w:pPr>
        <w:pStyle w:val="ListBullet"/>
        <w:spacing w:after="80"/>
        <w:ind w:left="255" w:hanging="113"/>
      </w:pPr>
      <w:r>
        <w:t>National priorities and additional indicators remain flexible.</w:t>
      </w:r>
    </w:p>
    <w:p>
      <w:pPr>
        <w:pStyle w:val="ListBullet"/>
        <w:spacing w:after="80"/>
        <w:ind w:left="255" w:hanging="113"/>
      </w:pPr>
      <w:r>
        <w:t>No composite score automatically determines eligibility or conditionality.</w:t>
      </w:r>
    </w:p>
    <w:p>
      <w:pPr>
        <w:pStyle w:val="ListBullet"/>
        <w:spacing w:after="80"/>
        <w:ind w:left="255" w:hanging="113"/>
      </w:pPr>
      <w:r>
        <w:t>Cross-border effects and obligations are visible to all affected parties.</w:t>
      </w:r>
    </w:p>
    <w:p>
      <w:pPr>
        <w:pStyle w:val="ListBullet"/>
        <w:spacing w:after="80"/>
        <w:ind w:left="255" w:hanging="113"/>
      </w:pPr>
      <w:r>
        <w:t>UN entities use one shared learning architecture rather than multiple parallel dashboards.</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ENGLISH ACRONYMS USED THROUGHOUT</w:t>
            </w:r>
          </w:p>
          <w:p>
            <w:pPr>
              <w:spacing w:after="0"/>
            </w:pPr>
            <w:r>
              <w:rPr>
                <w:sz w:val="17"/>
              </w:rPr>
              <w:t>OBI = Organisational Biomimicry Index · NLPI = Net Legal Production Index · CEDI = Collective Emotional Dynamics Index.</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GUIDING QUESTION 1</w:t>
      </w:r>
    </w:p>
    <w:p>
      <w:pPr>
        <w:pStyle w:val="Heading1"/>
      </w:pPr>
      <w:r>
        <w:t>Role in international policy</w:t>
      </w:r>
    </w:p>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2268"/>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Appropriate role</w:t>
            </w:r>
          </w:p>
        </w:tc>
        <w:tc>
          <w:tcPr>
            <w:tcW w:type="dxa" w:w="3515"/>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Why</w:t>
            </w:r>
          </w:p>
        </w:tc>
        <w:tc>
          <w:tcPr>
            <w:tcW w:type="dxa" w:w="3628"/>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Boundary</w:t>
            </w:r>
          </w:p>
        </w:tc>
      </w:tr>
      <w:tr>
        <w:tc>
          <w:tcPr>
            <w:tcW w:type="dxa" w:w="226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Contextualise GDP</w:t>
            </w:r>
          </w:p>
        </w:tc>
        <w:tc>
          <w:tcPr>
            <w:tcW w:type="dxa" w:w="351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Reveal outcomes, stocks, distribution, vulnerability and spillovers.</w:t>
            </w:r>
          </w:p>
        </w:tc>
        <w:tc>
          <w:tcPr>
            <w:tcW w:type="dxa" w:w="36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Do not discard economic accounts.</w:t>
            </w:r>
          </w:p>
        </w:tc>
      </w:tr>
      <w:tr>
        <w:tc>
          <w:tcPr>
            <w:tcW w:type="dxa" w:w="226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Improve appraisal</w:t>
            </w:r>
          </w:p>
        </w:tc>
        <w:tc>
          <w:tcPr>
            <w:tcW w:type="dxa" w:w="351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Compare options against floors, obligations and implementation capacity.</w:t>
            </w:r>
          </w:p>
        </w:tc>
        <w:tc>
          <w:tcPr>
            <w:tcW w:type="dxa" w:w="362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Do not automate political judgement.</w:t>
            </w:r>
          </w:p>
        </w:tc>
      </w:tr>
      <w:tr>
        <w:tc>
          <w:tcPr>
            <w:tcW w:type="dxa" w:w="226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Coordinate action</w:t>
            </w:r>
          </w:p>
        </w:tc>
        <w:tc>
          <w:tcPr>
            <w:tcW w:type="dxa" w:w="351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Give partners a shared evidence and learning protocol.</w:t>
            </w:r>
          </w:p>
        </w:tc>
        <w:tc>
          <w:tcPr>
            <w:tcW w:type="dxa" w:w="36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Do not erase national ownership.</w:t>
            </w:r>
          </w:p>
        </w:tc>
      </w:tr>
      <w:tr>
        <w:tc>
          <w:tcPr>
            <w:tcW w:type="dxa" w:w="226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Strengthen accountability</w:t>
            </w:r>
          </w:p>
        </w:tc>
        <w:tc>
          <w:tcPr>
            <w:tcW w:type="dxa" w:w="351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Publish evidence, assumptions, weights, decisions and results.</w:t>
            </w:r>
          </w:p>
        </w:tc>
        <w:tc>
          <w:tcPr>
            <w:tcW w:type="dxa" w:w="362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Protect legitimate confidentiality and privacy.</w:t>
            </w:r>
          </w:p>
        </w:tc>
      </w:tr>
      <w:tr>
        <w:tc>
          <w:tcPr>
            <w:tcW w:type="dxa" w:w="226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Support peer learning</w:t>
            </w:r>
          </w:p>
        </w:tc>
        <w:tc>
          <w:tcPr>
            <w:tcW w:type="dxa" w:w="351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Compare institutional routines and methods across contexts.</w:t>
            </w:r>
          </w:p>
        </w:tc>
        <w:tc>
          <w:tcPr>
            <w:tcW w:type="dxa" w:w="36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Avoid simplistic country ranking.</w:t>
            </w:r>
          </w:p>
        </w:tc>
      </w:tr>
    </w:tbl>
    <w:p>
      <w:pPr>
        <w:spacing w:after="0"/>
      </w:pPr>
    </w:p>
    <w:p>
      <w:r>
        <w:t>Fairness requires procedural as well as distributive safeguards: participation, explanation, access to underlying data, conflict-of-interest controls, review and a route to challenge.</w:t>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GUIDING QUESTION 2</w:t>
      </w:r>
    </w:p>
    <w:p>
      <w:pPr>
        <w:pStyle w:val="Heading1"/>
      </w:pPr>
      <w:r>
        <w:t>Sustainable development, cooperation and concessional finance</w:t>
      </w:r>
    </w:p>
    <w:p>
      <w:r>
        <w:t>Beyond GDP evidence can inform cooperation and concessional finance by complementing income with structural vulnerability, lack of resilience, human and natural capital, institutional capacity and distribution. The MVI is the recognised reference for small island developing States and other vulnerable contexts; LUMEN should interoperate with it, not compete.</w:t>
      </w:r>
    </w:p>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1928"/>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Use</w:t>
            </w:r>
          </w:p>
        </w:tc>
        <w:tc>
          <w:tcPr>
            <w:tcW w:type="dxa" w:w="3855"/>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LUMEN contribution</w:t>
            </w:r>
          </w:p>
        </w:tc>
        <w:tc>
          <w:tcPr>
            <w:tcW w:type="dxa" w:w="3628"/>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Condition</w:t>
            </w:r>
          </w:p>
        </w:tc>
      </w:tr>
      <w:tr>
        <w:tc>
          <w:tcPr>
            <w:tcW w:type="dxa" w:w="19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Country programming</w:t>
            </w:r>
          </w:p>
        </w:tc>
        <w:tc>
          <w:tcPr>
            <w:tcW w:type="dxa" w:w="385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Country-owned outcomes, floors and delivery feedback.</w:t>
            </w:r>
          </w:p>
        </w:tc>
        <w:tc>
          <w:tcPr>
            <w:tcW w:type="dxa" w:w="36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National consent and alignment with existing frameworks.</w:t>
            </w:r>
          </w:p>
        </w:tc>
      </w:tr>
      <w:tr>
        <w:tc>
          <w:tcPr>
            <w:tcW w:type="dxa" w:w="192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Concessional finance</w:t>
            </w:r>
          </w:p>
        </w:tc>
        <w:tc>
          <w:tcPr>
            <w:tcW w:type="dxa" w:w="385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Richer appraisal of need, vulnerability, resilience and transition capacity.</w:t>
            </w:r>
          </w:p>
        </w:tc>
        <w:tc>
          <w:tcPr>
            <w:tcW w:type="dxa" w:w="362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No automatic decision; published method and appeal.</w:t>
            </w:r>
          </w:p>
        </w:tc>
      </w:tr>
      <w:tr>
        <w:tc>
          <w:tcPr>
            <w:tcW w:type="dxa" w:w="19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Debt sustainability</w:t>
            </w:r>
          </w:p>
        </w:tc>
        <w:tc>
          <w:tcPr>
            <w:tcW w:type="dxa" w:w="385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Long-term capital risks, hidden liabilities and resilience investment.</w:t>
            </w:r>
          </w:p>
        </w:tc>
        <w:tc>
          <w:tcPr>
            <w:tcW w:type="dxa" w:w="36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Prudent uncertainty and no double counting.</w:t>
            </w:r>
          </w:p>
        </w:tc>
      </w:tr>
      <w:tr>
        <w:tc>
          <w:tcPr>
            <w:tcW w:type="dxa" w:w="192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Blended finance</w:t>
            </w:r>
          </w:p>
        </w:tc>
        <w:tc>
          <w:tcPr>
            <w:tcW w:type="dxa" w:w="385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Trace public contribution, private capture and distribution.</w:t>
            </w:r>
          </w:p>
        </w:tc>
        <w:tc>
          <w:tcPr>
            <w:tcW w:type="dxa" w:w="362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Additionality, transparency and public-value safeguards.</w:t>
            </w:r>
          </w:p>
        </w:tc>
      </w:tr>
      <w:tr>
        <w:tc>
          <w:tcPr>
            <w:tcW w:type="dxa" w:w="19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Technical cooperation</w:t>
            </w:r>
          </w:p>
        </w:tc>
        <w:tc>
          <w:tcPr>
            <w:tcW w:type="dxa" w:w="385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Identify capability gaps across data, law, participation and delivery.</w:t>
            </w:r>
          </w:p>
        </w:tc>
        <w:tc>
          <w:tcPr>
            <w:tcW w:type="dxa" w:w="36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Long-term institutional funding.</w:t>
            </w:r>
          </w:p>
        </w:tc>
      </w:tr>
    </w:tbl>
    <w:p>
      <w:pPr>
        <w:spacing w:after="0"/>
      </w:pP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MINIMUM CONDITION</w:t>
            </w:r>
          </w:p>
          <w:p>
            <w:pPr>
              <w:spacing w:after="0"/>
            </w:pPr>
            <w:r>
              <w:rPr>
                <w:sz w:val="17"/>
              </w:rPr>
              <w:t>An indicator may inform a financing decision only when its causal relevance, quality, uncertainty, distribution and governance are documented.</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GUIDING QUESTION 3</w:t>
      </w:r>
    </w:p>
    <w:p>
      <w:pPr>
        <w:pStyle w:val="Heading1"/>
      </w:pPr>
      <w:r>
        <w:t>Coherence with MVI, Sevilla and existing processes</w:t>
      </w:r>
    </w:p>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1984"/>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Framework</w:t>
            </w:r>
          </w:p>
        </w:tc>
        <w:tc>
          <w:tcPr>
            <w:tcW w:type="dxa" w:w="3402"/>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Primary mandate</w:t>
            </w:r>
          </w:p>
        </w:tc>
        <w:tc>
          <w:tcPr>
            <w:tcW w:type="dxa" w:w="4025"/>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Interface with LUMEN</w:t>
            </w:r>
          </w:p>
        </w:tc>
      </w:tr>
      <w:tr>
        <w:tc>
          <w:tcPr>
            <w:tcW w:type="dxa" w:w="198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2030 Agenda</w:t>
            </w:r>
          </w:p>
        </w:tc>
        <w:tc>
          <w:tcPr>
            <w:tcW w:type="dxa" w:w="340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Universal goals and targets.</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Policy portfolio and delivery feedback.</w:t>
            </w:r>
          </w:p>
        </w:tc>
      </w:tr>
      <w:tr>
        <w:tc>
          <w:tcPr>
            <w:tcW w:type="dxa" w:w="198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MVI</w:t>
            </w:r>
          </w:p>
        </w:tc>
        <w:tc>
          <w:tcPr>
            <w:tcW w:type="dxa" w:w="340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Structural vulnerability and resilience.</w:t>
            </w:r>
          </w:p>
        </w:tc>
        <w:tc>
          <w:tcPr>
            <w:tcW w:type="dxa" w:w="402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Operational capability and response pathways.</w:t>
            </w:r>
          </w:p>
        </w:tc>
      </w:tr>
      <w:tr>
        <w:tc>
          <w:tcPr>
            <w:tcW w:type="dxa" w:w="198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Sevilla Commitment</w:t>
            </w:r>
          </w:p>
        </w:tc>
        <w:tc>
          <w:tcPr>
            <w:tcW w:type="dxa" w:w="340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Financing for development.</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Value-capture, leakage and safeguard ledger.</w:t>
            </w:r>
          </w:p>
        </w:tc>
      </w:tr>
      <w:tr>
        <w:tc>
          <w:tcPr>
            <w:tcW w:type="dxa" w:w="198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SEEA / SNA</w:t>
            </w:r>
          </w:p>
        </w:tc>
        <w:tc>
          <w:tcPr>
            <w:tcW w:type="dxa" w:w="340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Economic-environmental accounting.</w:t>
            </w:r>
          </w:p>
        </w:tc>
        <w:tc>
          <w:tcPr>
            <w:tcW w:type="dxa" w:w="402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Capital evidence and scientific floors.</w:t>
            </w:r>
          </w:p>
        </w:tc>
      </w:tr>
      <w:tr>
        <w:tc>
          <w:tcPr>
            <w:tcW w:type="dxa" w:w="198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UN Sustainable Development Cooperation Frameworks</w:t>
            </w:r>
          </w:p>
        </w:tc>
        <w:tc>
          <w:tcPr>
            <w:tcW w:type="dxa" w:w="340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Country-level UN planning and results.</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Shared observation–decision–operation learning cycle.</w:t>
            </w:r>
          </w:p>
        </w:tc>
      </w:tr>
    </w:tbl>
    <w:p>
      <w:pPr>
        <w:spacing w:after="0"/>
      </w:pPr>
    </w:p>
    <w:p>
      <w:r>
        <w:t>Coherence should be managed through a crosswalk registry: for each LUMEN signal, record the existing indicator, framework owner, legal status, unit, frequency and decision use. New measures are justified only where a material gap remains.</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BEYOND GDP NESTED IN NLPI</w:t>
            </w:r>
          </w:p>
          <w:p>
            <w:pPr>
              <w:spacing w:after="0"/>
            </w:pPr>
            <w:r>
              <w:rPr>
                <w:sz w:val="17"/>
              </w:rPr>
              <w:t>The Beyond GDP indicator set is included in NLPI as the shared international evidence layer. NLPI adds the country-owned normative crosswalk, legal hierarchy, safeguards and decision traceability required for legitimate use; it does not convert every indicator into a legal rule.</w:t>
            </w:r>
          </w:p>
        </w:tc>
      </w:tr>
    </w:tbl>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ANTI-FRAGMENTATION RULE</w:t>
            </w:r>
          </w:p>
          <w:p>
            <w:pPr>
              <w:spacing w:after="0"/>
            </w:pPr>
            <w:r>
              <w:rPr>
                <w:sz w:val="17"/>
              </w:rPr>
              <w:t>Reuse → map → adapt → create last.</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GUIDING QUESTION 4</w:t>
      </w:r>
    </w:p>
    <w:p>
      <w:pPr>
        <w:pStyle w:val="Heading1"/>
      </w:pPr>
      <w:r>
        <w:t>Outcomes for the UN Development System</w:t>
      </w:r>
    </w:p>
    <w:p>
      <w:pPr>
        <w:pStyle w:val="ListNumber"/>
        <w:spacing w:after="60"/>
        <w:ind w:left="283" w:hanging="113"/>
      </w:pPr>
      <w:r>
        <w:t>One common Beyond GDP protocol for country diagnostics, with modular application by UN country teams.</w:t>
      </w:r>
    </w:p>
    <w:p>
      <w:pPr>
        <w:pStyle w:val="ListNumber"/>
        <w:spacing w:after="60"/>
        <w:ind w:left="283" w:hanging="113"/>
      </w:pPr>
      <w:r>
        <w:t>A shared scenario ledger linking Common Country Analysis evidence to Cooperation Framework outcomes and delivery.</w:t>
      </w:r>
    </w:p>
    <w:p>
      <w:pPr>
        <w:pStyle w:val="ListNumber"/>
        <w:spacing w:after="60"/>
        <w:ind w:left="283" w:hanging="113"/>
      </w:pPr>
      <w:r>
        <w:t>Interoperable metadata for official, administrative, geospatial and quality-assured citizen data.</w:t>
      </w:r>
    </w:p>
    <w:p>
      <w:pPr>
        <w:pStyle w:val="ListNumber"/>
        <w:spacing w:after="60"/>
        <w:ind w:left="283" w:hanging="113"/>
      </w:pPr>
      <w:r>
        <w:t>A learning network that compares decision usefulness and implementation, not only indicator availability.</w:t>
      </w:r>
    </w:p>
    <w:p>
      <w:pPr>
        <w:pStyle w:val="ListNumber"/>
        <w:spacing w:after="60"/>
        <w:ind w:left="283" w:hanging="113"/>
      </w:pPr>
      <w:r>
        <w:t>Capacity support spanning statistics, legal analysis, participation, modelling, budgeting and programme delivery.</w:t>
      </w:r>
    </w:p>
    <w:p>
      <w:pPr>
        <w:pStyle w:val="ListNumber"/>
        <w:spacing w:after="60"/>
        <w:ind w:left="283" w:hanging="113"/>
      </w:pPr>
      <w:r>
        <w:t>Independent review of equity, rights, data governance and unintended incentives.</w:t>
      </w:r>
    </w:p>
    <w:p>
      <w:r>
        <w:t>The desired outcome is better integrated support to Member States, not a new reporting layer. Resident Coordinators should be able to convene the cycle, while national institutions retain decision ownership.</w:t>
      </w:r>
    </w:p>
    <w:p>
      <w:pPr>
        <w:spacing w:after="60"/>
        <w:jc w:val="center"/>
      </w:pPr>
      <w:r>
        <w:drawing>
          <wp:inline xmlns:a="http://schemas.openxmlformats.org/drawingml/2006/main" xmlns:pic="http://schemas.openxmlformats.org/drawingml/2006/picture">
            <wp:extent cx="4968000" cy="4341181"/>
            <wp:docPr id="1" name="Picture 1"/>
            <wp:cNvGraphicFramePr>
              <a:graphicFrameLocks noChangeAspect="1"/>
            </wp:cNvGraphicFramePr>
            <a:graphic>
              <a:graphicData uri="http://schemas.openxmlformats.org/drawingml/2006/picture">
                <pic:pic>
                  <pic:nvPicPr>
                    <pic:cNvPr id="0" name="lumen_full_architecture.png"/>
                    <pic:cNvPicPr/>
                  </pic:nvPicPr>
                  <pic:blipFill>
                    <a:blip r:embed="rId12"/>
                    <a:stretch>
                      <a:fillRect/>
                    </a:stretch>
                  </pic:blipFill>
                  <pic:spPr>
                    <a:xfrm>
                      <a:off x="0" y="0"/>
                      <a:ext cx="4968000" cy="4341181"/>
                    </a:xfrm>
                    <a:prstGeom prst="rect"/>
                  </pic:spPr>
                </pic:pic>
              </a:graphicData>
            </a:graphic>
          </wp:inline>
        </w:drawing>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SDG 17 COVERAGE</w:t>
      </w:r>
    </w:p>
    <w:p>
      <w:pPr>
        <w:pStyle w:val="Heading1"/>
      </w:pPr>
      <w:r>
        <w:t>Every target group has an operational interface</w:t>
      </w:r>
    </w:p>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2268"/>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4"/>
              </w:rPr>
              <w:t>Goal 17 group</w:t>
            </w:r>
          </w:p>
        </w:tc>
        <w:tc>
          <w:tcPr>
            <w:tcW w:type="dxa" w:w="1701"/>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4"/>
              </w:rPr>
              <w:t>Targets</w:t>
            </w:r>
          </w:p>
        </w:tc>
        <w:tc>
          <w:tcPr>
            <w:tcW w:type="dxa" w:w="5443"/>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4"/>
              </w:rPr>
              <w:t>LUMEN contribution</w:t>
            </w:r>
          </w:p>
        </w:tc>
      </w:tr>
      <w:tr>
        <w:tc>
          <w:tcPr>
            <w:tcW w:type="dxa" w:w="226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4"/>
              </w:rPr>
              <w:t>Finance</w:t>
            </w:r>
          </w:p>
        </w:tc>
        <w:tc>
          <w:tcPr>
            <w:tcW w:type="dxa" w:w="170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17.1–17.5</w:t>
            </w:r>
          </w:p>
        </w:tc>
        <w:tc>
          <w:tcPr>
            <w:tcW w:type="dxa" w:w="5443"/>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Domestic resource mobilisation, leakage, value capture, debt/resilience and investment safeguards.</w:t>
            </w:r>
          </w:p>
        </w:tc>
      </w:tr>
      <w:tr>
        <w:tc>
          <w:tcPr>
            <w:tcW w:type="dxa" w:w="226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4"/>
              </w:rPr>
              <w:t>Technology</w:t>
            </w:r>
          </w:p>
        </w:tc>
        <w:tc>
          <w:tcPr>
            <w:tcW w:type="dxa" w:w="1701"/>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17.6–17.8</w:t>
            </w:r>
          </w:p>
        </w:tc>
        <w:tc>
          <w:tcPr>
            <w:tcW w:type="dxa" w:w="5443"/>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Shared knowledge, open methods, capability transfer and inclusive digital infrastructure.</w:t>
            </w:r>
          </w:p>
        </w:tc>
      </w:tr>
      <w:tr>
        <w:tc>
          <w:tcPr>
            <w:tcW w:type="dxa" w:w="226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4"/>
              </w:rPr>
              <w:t>Capacity-building</w:t>
            </w:r>
          </w:p>
        </w:tc>
        <w:tc>
          <w:tcPr>
            <w:tcW w:type="dxa" w:w="170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17.9</w:t>
            </w:r>
          </w:p>
        </w:tc>
        <w:tc>
          <w:tcPr>
            <w:tcW w:type="dxa" w:w="5443"/>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Integrated statistical, legal, participatory, analytical and delivery capability.</w:t>
            </w:r>
          </w:p>
        </w:tc>
      </w:tr>
      <w:tr>
        <w:tc>
          <w:tcPr>
            <w:tcW w:type="dxa" w:w="226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4"/>
              </w:rPr>
              <w:t>Trade</w:t>
            </w:r>
          </w:p>
        </w:tc>
        <w:tc>
          <w:tcPr>
            <w:tcW w:type="dxa" w:w="1701"/>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17.10–17.12</w:t>
            </w:r>
          </w:p>
        </w:tc>
        <w:tc>
          <w:tcPr>
            <w:tcW w:type="dxa" w:w="5443"/>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Distributional effects, legal coherence, spillovers and policy-space analysis.</w:t>
            </w:r>
          </w:p>
        </w:tc>
      </w:tr>
      <w:tr>
        <w:tc>
          <w:tcPr>
            <w:tcW w:type="dxa" w:w="226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4"/>
              </w:rPr>
              <w:t>Systemic issues</w:t>
            </w:r>
          </w:p>
        </w:tc>
        <w:tc>
          <w:tcPr>
            <w:tcW w:type="dxa" w:w="170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17.13–17.15</w:t>
            </w:r>
          </w:p>
        </w:tc>
        <w:tc>
          <w:tcPr>
            <w:tcW w:type="dxa" w:w="5443"/>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Macro stability, policy coherence, country ownership and published normative profiles.</w:t>
            </w:r>
          </w:p>
        </w:tc>
      </w:tr>
      <w:tr>
        <w:tc>
          <w:tcPr>
            <w:tcW w:type="dxa" w:w="226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4"/>
              </w:rPr>
              <w:t>Partnerships</w:t>
            </w:r>
          </w:p>
        </w:tc>
        <w:tc>
          <w:tcPr>
            <w:tcW w:type="dxa" w:w="1701"/>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17.16–17.17</w:t>
            </w:r>
          </w:p>
        </w:tc>
        <w:tc>
          <w:tcPr>
            <w:tcW w:type="dxa" w:w="5443"/>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Needs/offers matching, shared outcomes, multi-stakeholder delivery and accountability.</w:t>
            </w:r>
          </w:p>
        </w:tc>
      </w:tr>
      <w:tr>
        <w:tc>
          <w:tcPr>
            <w:tcW w:type="dxa" w:w="226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4"/>
              </w:rPr>
              <w:t>Data and monitoring</w:t>
            </w:r>
          </w:p>
        </w:tc>
        <w:tc>
          <w:tcPr>
            <w:tcW w:type="dxa" w:w="170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17.18–17.19</w:t>
            </w:r>
          </w:p>
        </w:tc>
        <w:tc>
          <w:tcPr>
            <w:tcW w:type="dxa" w:w="5443"/>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Disaggregated data, citizen-data governance, measures beyond GDP and statistical capacity.</w:t>
            </w:r>
          </w:p>
        </w:tc>
      </w:tr>
    </w:tbl>
    <w:p>
      <w:pPr>
        <w:spacing w:after="0"/>
      </w:pPr>
    </w:p>
    <w:p>
      <w:r>
        <w:t>Target 17.19 explicitly calls for measures of sustainable-development progress that complement GDP and for statistical capacity-building. LUMEN adds a management pathway through which those measures can inform action.</w:t>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INTERNATIONAL RULE OF LAW</w:t>
      </w:r>
    </w:p>
    <w:p>
      <w:pPr>
        <w:pStyle w:val="Heading1"/>
      </w:pPr>
      <w:r>
        <w:t>Make every cross-border use traceable and contestable</w:t>
      </w:r>
    </w:p>
    <w:p>
      <w:pPr>
        <w:spacing w:after="60"/>
        <w:jc w:val="center"/>
      </w:pPr>
      <w:r>
        <w:drawing>
          <wp:inline xmlns:a="http://schemas.openxmlformats.org/drawingml/2006/main" xmlns:pic="http://schemas.openxmlformats.org/drawingml/2006/picture">
            <wp:extent cx="5508000" cy="2878847"/>
            <wp:docPr id="2" name="Picture 2"/>
            <wp:cNvGraphicFramePr>
              <a:graphicFrameLocks noChangeAspect="1"/>
            </wp:cNvGraphicFramePr>
            <a:graphic>
              <a:graphicData uri="http://schemas.openxmlformats.org/drawingml/2006/picture">
                <pic:pic>
                  <pic:nvPicPr>
                    <pic:cNvPr id="0" name="normative_architecture.png"/>
                    <pic:cNvPicPr/>
                  </pic:nvPicPr>
                  <pic:blipFill>
                    <a:blip r:embed="rId13"/>
                    <a:stretch>
                      <a:fillRect/>
                    </a:stretch>
                  </pic:blipFill>
                  <pic:spPr>
                    <a:xfrm>
                      <a:off x="0" y="0"/>
                      <a:ext cx="5508000" cy="2878847"/>
                    </a:xfrm>
                    <a:prstGeom prst="rect"/>
                  </pic:spPr>
                </pic:pic>
              </a:graphicData>
            </a:graphic>
          </wp:inline>
        </w:drawing>
      </w:r>
    </w:p>
    <w:p>
      <w:pPr>
        <w:pStyle w:val="ListBullet"/>
        <w:spacing w:after="40"/>
        <w:ind w:left="255" w:hanging="113"/>
      </w:pPr>
      <w:r>
        <w:t>State the legal mandate and decision purpose before selecting indicators.</w:t>
      </w:r>
    </w:p>
    <w:p>
      <w:pPr>
        <w:pStyle w:val="ListBullet"/>
        <w:spacing w:after="40"/>
        <w:ind w:left="255" w:hanging="113"/>
      </w:pPr>
      <w:r>
        <w:t>Distinguish binding obligations, recognised principles, policy commitments and voluntary standards.</w:t>
      </w:r>
    </w:p>
    <w:p>
      <w:pPr>
        <w:pStyle w:val="ListBullet"/>
        <w:spacing w:after="40"/>
        <w:ind w:left="255" w:hanging="113"/>
      </w:pPr>
      <w:r>
        <w:t>Identify affected jurisdictions, rights-holders and transboundary spillovers.</w:t>
      </w:r>
    </w:p>
    <w:p>
      <w:pPr>
        <w:pStyle w:val="ListBullet"/>
        <w:spacing w:after="40"/>
        <w:ind w:left="255" w:hanging="113"/>
      </w:pPr>
      <w:r>
        <w:t>Publish weights, thresholds, uncertainty, data provenance and conflicts of interest.</w:t>
      </w:r>
    </w:p>
    <w:p>
      <w:pPr>
        <w:pStyle w:val="ListBullet"/>
        <w:spacing w:after="40"/>
        <w:ind w:left="255" w:hanging="113"/>
      </w:pPr>
      <w:r>
        <w:t>Provide explanation, review and appeal when results influence resources or status.</w:t>
      </w:r>
    </w:p>
    <w:p>
      <w:pPr>
        <w:pStyle w:val="ListBullet"/>
        <w:spacing w:after="40"/>
        <w:ind w:left="255" w:hanging="113"/>
      </w:pPr>
      <w:r>
        <w:t>Prohibit compensation of fundamental rights or critical ecological thresholds.</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SOVEREIGNTY</w:t>
            </w:r>
          </w:p>
          <w:p>
            <w:pPr>
              <w:spacing w:after="0"/>
            </w:pPr>
            <w:r>
              <w:rPr>
                <w:sz w:val="17"/>
              </w:rPr>
              <w:t>International cooperation is legitimate when it expands countries’ capacity to pursue authorised objectives while respecting mutual obligations and spillovers.</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COMMON MANAGEMENT INFRASTRUCTURE</w:t>
      </w:r>
    </w:p>
    <w:p>
      <w:pPr>
        <w:pStyle w:val="Heading1"/>
      </w:pPr>
      <w:r>
        <w:t>Interoperability without uniformity</w:t>
      </w:r>
    </w:p>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1814"/>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4"/>
              </w:rPr>
              <w:t>Shared component</w:t>
            </w:r>
          </w:p>
        </w:tc>
        <w:tc>
          <w:tcPr>
            <w:tcW w:type="dxa" w:w="4025"/>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4"/>
              </w:rPr>
              <w:t>Global common</w:t>
            </w:r>
          </w:p>
        </w:tc>
        <w:tc>
          <w:tcPr>
            <w:tcW w:type="dxa" w:w="3572"/>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4"/>
              </w:rPr>
              <w:t>Country-owned element</w:t>
            </w:r>
          </w:p>
        </w:tc>
      </w:tr>
      <w:tr>
        <w:tc>
          <w:tcPr>
            <w:tcW w:type="dxa" w:w="181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4"/>
              </w:rPr>
              <w:t>Metadata</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Definitions, provenance, quality, uncertainty, disaggregation and frequency.</w:t>
            </w:r>
          </w:p>
        </w:tc>
        <w:tc>
          <w:tcPr>
            <w:tcW w:type="dxa" w:w="357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Additional variables and culturally appropriate categories.</w:t>
            </w:r>
          </w:p>
        </w:tc>
      </w:tr>
      <w:tr>
        <w:tc>
          <w:tcPr>
            <w:tcW w:type="dxa" w:w="181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4"/>
              </w:rPr>
              <w:t>Safeguards</w:t>
            </w:r>
          </w:p>
        </w:tc>
        <w:tc>
          <w:tcPr>
            <w:tcW w:type="dxa" w:w="402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Rights, floors, privacy, participation, transparency and appeal.</w:t>
            </w:r>
          </w:p>
        </w:tc>
        <w:tc>
          <w:tcPr>
            <w:tcW w:type="dxa" w:w="357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Constitutional route and responsible institutions.</w:t>
            </w:r>
          </w:p>
        </w:tc>
      </w:tr>
      <w:tr>
        <w:tc>
          <w:tcPr>
            <w:tcW w:type="dxa" w:w="181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4"/>
              </w:rPr>
              <w:t>Decision log</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Minimum evidence–assumption–decision–result fields.</w:t>
            </w:r>
          </w:p>
        </w:tc>
        <w:tc>
          <w:tcPr>
            <w:tcW w:type="dxa" w:w="357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Mandate, deliberation and budget process.</w:t>
            </w:r>
          </w:p>
        </w:tc>
      </w:tr>
      <w:tr>
        <w:tc>
          <w:tcPr>
            <w:tcW w:type="dxa" w:w="181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4"/>
              </w:rPr>
              <w:t>Data exchange</w:t>
            </w:r>
          </w:p>
        </w:tc>
        <w:tc>
          <w:tcPr>
            <w:tcW w:type="dxa" w:w="402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Open standards and documented APIs where appropriate.</w:t>
            </w:r>
          </w:p>
        </w:tc>
        <w:tc>
          <w:tcPr>
            <w:tcW w:type="dxa" w:w="357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Hosting, access tiers and data-sovereignty arrangements.</w:t>
            </w:r>
          </w:p>
        </w:tc>
      </w:tr>
      <w:tr>
        <w:tc>
          <w:tcPr>
            <w:tcW w:type="dxa" w:w="181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4"/>
              </w:rPr>
              <w:t>Evaluation</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Common questions on usefulness, cost, equity and learning.</w:t>
            </w:r>
          </w:p>
        </w:tc>
        <w:tc>
          <w:tcPr>
            <w:tcW w:type="dxa" w:w="357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4"/>
              </w:rPr>
              <w:t>Policy-specific outcomes and political review.</w:t>
            </w:r>
          </w:p>
        </w:tc>
      </w:tr>
    </w:tbl>
    <w:p>
      <w:pPr>
        <w:spacing w:after="0"/>
      </w:pPr>
    </w:p>
    <w:p>
      <w:r>
        <w:t>This infrastructure is a public governance commons, not necessarily one software platform. Shared standards can support federated systems, regional hubs and national solutions.</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ARCHITECTURE PRINCIPLE</w:t>
            </w:r>
          </w:p>
          <w:p>
            <w:pPr>
              <w:spacing w:after="0"/>
            </w:pPr>
            <w:r>
              <w:rPr>
                <w:sz w:val="17"/>
              </w:rPr>
              <w:t>Centralise only what must be common; federate data and decisions; distribute intelligence and accountability.</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POST-2030 NEGOTIATION PATHWAY</w:t>
      </w:r>
    </w:p>
    <w:p>
      <w:pPr>
        <w:pStyle w:val="Heading1"/>
      </w:pPr>
      <w:r>
        <w:t>Pilot before institutionalisation</w:t>
      </w:r>
    </w:p>
    <w:p>
      <w:pPr>
        <w:spacing w:after="60"/>
        <w:jc w:val="center"/>
      </w:pPr>
      <w:r>
        <w:drawing>
          <wp:inline xmlns:a="http://schemas.openxmlformats.org/drawingml/2006/main" xmlns:pic="http://schemas.openxmlformats.org/drawingml/2006/picture">
            <wp:extent cx="5940000" cy="2232230"/>
            <wp:docPr id="3" name="Picture 3"/>
            <wp:cNvGraphicFramePr>
              <a:graphicFrameLocks noChangeAspect="1"/>
            </wp:cNvGraphicFramePr>
            <a:graphic>
              <a:graphicData uri="http://schemas.openxmlformats.org/drawingml/2006/picture">
                <pic:pic>
                  <pic:nvPicPr>
                    <pic:cNvPr id="0" name="roadmap.png"/>
                    <pic:cNvPicPr/>
                  </pic:nvPicPr>
                  <pic:blipFill>
                    <a:blip r:embed="rId14"/>
                    <a:stretch>
                      <a:fillRect/>
                    </a:stretch>
                  </pic:blipFill>
                  <pic:spPr>
                    <a:xfrm>
                      <a:off x="0" y="0"/>
                      <a:ext cx="5940000" cy="2232230"/>
                    </a:xfrm>
                    <a:prstGeom prst="rect"/>
                  </pic:spPr>
                </pic:pic>
              </a:graphicData>
            </a:graphic>
          </wp:inline>
        </w:drawing>
      </w:r>
    </w:p>
    <w:p>
      <w:pPr>
        <w:pStyle w:val="ListNumber"/>
        <w:spacing w:after="60"/>
        <w:ind w:left="283" w:hanging="113"/>
      </w:pPr>
      <w:r>
        <w:t>Design a minimum protocol under existing UN statistical and sustainable-development governance.</w:t>
      </w:r>
    </w:p>
    <w:p>
      <w:pPr>
        <w:pStyle w:val="ListNumber"/>
        <w:spacing w:after="60"/>
        <w:ind w:left="283" w:hanging="113"/>
      </w:pPr>
      <w:r>
        <w:t>Invite voluntary pilots representing different regions, income levels, vulnerabilities and institutional models.</w:t>
      </w:r>
    </w:p>
    <w:p>
      <w:pPr>
        <w:pStyle w:val="ListNumber"/>
        <w:spacing w:after="60"/>
        <w:ind w:left="283" w:hanging="113"/>
      </w:pPr>
      <w:r>
        <w:t>Publish independent evaluation of decision usefulness, administrative cost, equity and legitimacy.</w:t>
      </w:r>
    </w:p>
    <w:p>
      <w:pPr>
        <w:pStyle w:val="ListNumber"/>
        <w:spacing w:after="60"/>
        <w:ind w:left="283" w:hanging="113"/>
      </w:pPr>
      <w:r>
        <w:t>Fund capability and interoperability through Goal 17 partnerships.</w:t>
      </w:r>
    </w:p>
    <w:p>
      <w:pPr>
        <w:pStyle w:val="ListNumber"/>
        <w:spacing w:after="60"/>
        <w:ind w:left="283" w:hanging="113"/>
      </w:pPr>
      <w:r>
        <w:t>Bring only validated components into post-2030 negotiations.</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NEGOTIATION ASSET</w:t>
            </w:r>
          </w:p>
          <w:p>
            <w:pPr>
              <w:spacing w:after="0"/>
            </w:pPr>
            <w:r>
              <w:rPr>
                <w:sz w:val="17"/>
              </w:rPr>
              <w:t>LUMEN can serve as a structured negotiation language: each party can see the evidence, legal basis, needs, offers, constraints and expected contribution without surrendering policy ownership.</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RECOMMENDATIONS AND SOURCES</w:t>
      </w:r>
    </w:p>
    <w:p>
      <w:pPr>
        <w:pStyle w:val="Heading1"/>
      </w:pPr>
      <w:r>
        <w:t>International application compact</w:t>
      </w:r>
    </w:p>
    <w:p>
      <w:pPr>
        <w:pStyle w:val="ListNumber"/>
        <w:spacing w:after="60"/>
        <w:ind w:left="283" w:hanging="113"/>
      </w:pPr>
      <w:r>
        <w:t>Reject automatic eligibility or conditionality based on a composite Beyond GDP score.</w:t>
      </w:r>
    </w:p>
    <w:p>
      <w:pPr>
        <w:pStyle w:val="ListNumber"/>
        <w:spacing w:after="60"/>
        <w:ind w:left="283" w:hanging="113"/>
      </w:pPr>
      <w:r>
        <w:t>Require country ownership, transparent metadata, published weighting and appeal.</w:t>
      </w:r>
    </w:p>
    <w:p>
      <w:pPr>
        <w:pStyle w:val="ListNumber"/>
        <w:spacing w:after="60"/>
        <w:ind w:left="283" w:hanging="113"/>
      </w:pPr>
      <w:r>
        <w:t>Interoperate with MVI, Sevilla, SEEA, SDGs and UN Cooperation Frameworks.</w:t>
      </w:r>
    </w:p>
    <w:p>
      <w:pPr>
        <w:pStyle w:val="ListNumber"/>
        <w:spacing w:after="60"/>
        <w:ind w:left="283" w:hanging="113"/>
      </w:pPr>
      <w:r>
        <w:t>Use Goal 17 as the implementation backbone, especially targets 17.14–17.19.</w:t>
      </w:r>
    </w:p>
    <w:p>
      <w:pPr>
        <w:pStyle w:val="ListNumber"/>
        <w:spacing w:after="60"/>
        <w:ind w:left="283" w:hanging="113"/>
      </w:pPr>
      <w:r>
        <w:t>Build a federated governance infrastructure and a peer-learning network.</w:t>
      </w:r>
    </w:p>
    <w:p>
      <w:pPr>
        <w:pStyle w:val="ListNumber"/>
        <w:spacing w:after="60"/>
        <w:ind w:left="283" w:hanging="113"/>
      </w:pPr>
      <w:r>
        <w:t>Evaluate pilots before post-2030 institutionalisation.</w:t>
      </w:r>
    </w:p>
    <w:p>
      <w:pPr>
        <w:pStyle w:val="Heading2"/>
      </w:pPr>
      <w:r>
        <w:t>Selected references</w:t>
      </w:r>
    </w:p>
    <w:p>
      <w:pPr>
        <w:spacing w:after="40"/>
        <w:ind w:left="227" w:hanging="227"/>
      </w:pPr>
      <w:r>
        <w:rPr>
          <w:b/>
          <w:color w:val="006A9E"/>
          <w:sz w:val="14"/>
        </w:rPr>
        <w:t xml:space="preserve">[1] </w:t>
      </w:r>
      <w:r>
        <w:rPr>
          <w:sz w:val="14"/>
        </w:rPr>
        <w:t xml:space="preserve">United Nations, Beyond GDP consultation and call for inputs (2026). </w:t>
      </w:r>
      <w:hyperlink r:id="rId15">
        <w:r>
          <w:rPr>
            <w:color w:val="006A9E"/>
            <w:u w:val="single"/>
          </w:rPr>
          <w:t>https://www.un.org/en/beyondGDP/consultations</w:t>
        </w:r>
      </w:hyperlink>
    </w:p>
    <w:p>
      <w:pPr>
        <w:spacing w:after="40"/>
        <w:ind w:left="227" w:hanging="227"/>
      </w:pPr>
      <w:r>
        <w:rPr>
          <w:b/>
          <w:color w:val="006A9E"/>
          <w:sz w:val="14"/>
        </w:rPr>
        <w:t xml:space="preserve">[2] </w:t>
      </w:r>
      <w:r>
        <w:rPr>
          <w:sz w:val="14"/>
        </w:rPr>
        <w:t xml:space="preserve">UN Secretary-General’s Independent High-Level Expert Group, Counting What Counts: A Compass of Progress for People and Planet (2026). </w:t>
      </w:r>
      <w:hyperlink r:id="rId16">
        <w:r>
          <w:rPr>
            <w:color w:val="006A9E"/>
            <w:u w:val="single"/>
          </w:rPr>
          <w:t>https://www.un.org/sites/un2.un.org/files/high-level_expert_group_on_beyond_gdp_final_report.pdf</w:t>
        </w:r>
      </w:hyperlink>
    </w:p>
    <w:p>
      <w:pPr>
        <w:spacing w:after="40"/>
        <w:ind w:left="227" w:hanging="227"/>
      </w:pPr>
      <w:r>
        <w:rPr>
          <w:b/>
          <w:color w:val="006A9E"/>
          <w:sz w:val="14"/>
        </w:rPr>
        <w:t xml:space="preserve">[3] </w:t>
      </w:r>
      <w:r>
        <w:rPr>
          <w:sz w:val="14"/>
        </w:rPr>
        <w:t xml:space="preserve">United Nations, Beyond GDP consultation — guiding questions (2026). </w:t>
      </w:r>
      <w:hyperlink r:id="rId17">
        <w:r>
          <w:rPr>
            <w:color w:val="006A9E"/>
            <w:u w:val="single"/>
          </w:rPr>
          <w:t>https://www.un.org/sites/un2.un.org/files/fin-guiding_questions_for_the_intergovernmental_process_on_beyond_gdp.docx</w:t>
        </w:r>
      </w:hyperlink>
    </w:p>
    <w:p>
      <w:pPr>
        <w:spacing w:after="40"/>
        <w:ind w:left="227" w:hanging="227"/>
      </w:pPr>
      <w:r>
        <w:rPr>
          <w:b/>
          <w:color w:val="006A9E"/>
          <w:sz w:val="14"/>
        </w:rPr>
        <w:t xml:space="preserve">[4] </w:t>
      </w:r>
      <w:r>
        <w:rPr>
          <w:sz w:val="14"/>
        </w:rPr>
        <w:t xml:space="preserve">United Nations, Pact for the Future, Action 53(a). </w:t>
      </w:r>
      <w:hyperlink r:id="rId18">
        <w:r>
          <w:rPr>
            <w:color w:val="006A9E"/>
            <w:u w:val="single"/>
          </w:rPr>
          <w:t>https://www.un.org/pact-for-the-future/en/action-53a</w:t>
        </w:r>
      </w:hyperlink>
    </w:p>
    <w:p>
      <w:pPr>
        <w:spacing w:after="40"/>
        <w:ind w:left="227" w:hanging="227"/>
      </w:pPr>
      <w:r>
        <w:rPr>
          <w:b/>
          <w:color w:val="006A9E"/>
          <w:sz w:val="14"/>
        </w:rPr>
        <w:t xml:space="preserve">[5] </w:t>
      </w:r>
      <w:r>
        <w:rPr>
          <w:sz w:val="14"/>
        </w:rPr>
        <w:t xml:space="preserve">United Nations Statistics Division, The Sustainable Development Goals Report 2025. </w:t>
      </w:r>
      <w:hyperlink r:id="rId19">
        <w:r>
          <w:rPr>
            <w:color w:val="006A9E"/>
            <w:u w:val="single"/>
          </w:rPr>
          <w:t>https://unstats.un.org/sdgs/report/2025/The-Sustainable-Development-Goals-Report-2025.pdf</w:t>
        </w:r>
      </w:hyperlink>
    </w:p>
    <w:p>
      <w:pPr>
        <w:spacing w:after="40"/>
        <w:ind w:left="227" w:hanging="227"/>
      </w:pPr>
      <w:r>
        <w:rPr>
          <w:b/>
          <w:color w:val="006A9E"/>
          <w:sz w:val="14"/>
        </w:rPr>
        <w:t xml:space="preserve">[6] </w:t>
      </w:r>
      <w:r>
        <w:rPr>
          <w:sz w:val="14"/>
        </w:rPr>
        <w:t xml:space="preserve">United Nations, Multidimensional Vulnerability Index: Final Report (2024). </w:t>
      </w:r>
      <w:hyperlink r:id="rId20">
        <w:r>
          <w:rPr>
            <w:color w:val="006A9E"/>
            <w:u w:val="single"/>
          </w:rPr>
          <w:t>https://sdgs.un.org/sites/default/files/2024-02/Final_MVI_report.pdf</w:t>
        </w:r>
      </w:hyperlink>
    </w:p>
    <w:p>
      <w:pPr>
        <w:spacing w:after="40"/>
        <w:ind w:left="227" w:hanging="227"/>
      </w:pPr>
      <w:r>
        <w:rPr>
          <w:b/>
          <w:color w:val="006A9E"/>
          <w:sz w:val="14"/>
        </w:rPr>
        <w:t xml:space="preserve">[7] </w:t>
      </w:r>
      <w:r>
        <w:rPr>
          <w:sz w:val="14"/>
        </w:rPr>
        <w:t xml:space="preserve">Fourth International Conference on Financing for Development, Sevilla Commitment (2025). </w:t>
      </w:r>
      <w:hyperlink r:id="rId21">
        <w:r>
          <w:rPr>
            <w:color w:val="006A9E"/>
            <w:u w:val="single"/>
          </w:rPr>
          <w:t>https://financing.desa.un.org/sites/default/files/2025-08/FFD4%20Outcome%20Booklet%20v4_EN%20-%20spread.pdf</w:t>
        </w:r>
      </w:hyperlink>
    </w:p>
    <w:p>
      <w:pPr>
        <w:spacing w:after="40"/>
        <w:ind w:left="227" w:hanging="227"/>
      </w:pPr>
      <w:r>
        <w:rPr>
          <w:b/>
          <w:color w:val="006A9E"/>
          <w:sz w:val="14"/>
        </w:rPr>
        <w:t xml:space="preserve">[8] </w:t>
      </w:r>
      <w:r>
        <w:rPr>
          <w:sz w:val="14"/>
        </w:rPr>
        <w:t xml:space="preserve">United Nations Statistics Division, System of Environmental-Economic Accounting — Ecosystem Accounting. </w:t>
      </w:r>
      <w:hyperlink r:id="rId22">
        <w:r>
          <w:rPr>
            <w:color w:val="006A9E"/>
            <w:u w:val="single"/>
          </w:rPr>
          <w:t>https://unstats.un.org/unsd/statcom/53rd-session/documents/BG-3l-implementation-strategy-for-the-SEEA-ecosystem-accounting-E.pdf</w:t>
        </w:r>
      </w:hyperlink>
    </w:p>
    <w:p>
      <w:pPr>
        <w:spacing w:after="40"/>
        <w:ind w:left="227" w:hanging="227"/>
      </w:pPr>
      <w:r>
        <w:rPr>
          <w:b/>
          <w:color w:val="006A9E"/>
          <w:sz w:val="14"/>
        </w:rPr>
        <w:t xml:space="preserve">[10] </w:t>
      </w:r>
      <w:r>
        <w:rPr>
          <w:sz w:val="14"/>
        </w:rPr>
        <w:t xml:space="preserve">United Nations Statistics Division, Copenhagen Framework on Citizen Data (2024). </w:t>
      </w:r>
      <w:hyperlink r:id="rId23">
        <w:r>
          <w:rPr>
            <w:color w:val="006A9E"/>
            <w:u w:val="single"/>
          </w:rPr>
          <w:t>https://unstats.un.org/UNSDWebsite/statcom/session_55/documents/BG-4c-CGD_Framework-E.pdf</w:t>
        </w:r>
      </w:hyperlink>
    </w:p>
    <w:sectPr w:rsidR="00FC693F" w:rsidRPr="0006063C" w:rsidSect="00034616">
      <w:headerReference w:type="default" r:id="rId9"/>
      <w:footerReference w:type="default" r:id="rId10"/>
      <w:pgSz w:w="12240" w:h="15840"/>
      <w:pgMar w:top="879" w:right="935" w:bottom="765" w:left="935" w:header="312" w:footer="31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3456"/>
      <w:gridCol w:w="3168"/>
      <w:gridCol w:w="3456"/>
    </w:tblGrid>
    <w:tr>
      <w:tc>
        <w:tcPr>
          <w:tcW w:type="dxa" w:w="3360"/>
          <w:tcBorders>
            <w:top w:val="single" w:sz="0" w:color="FFFFFF"/>
            <w:left w:val="single" w:sz="0" w:color="FFFFFF"/>
            <w:bottom w:val="single" w:sz="0" w:color="FFFFFF"/>
            <w:right w:val="single" w:sz="0" w:color="FFFFFF"/>
            <w:insideH w:val="single" w:sz="0" w:color="FFFFFF"/>
            <w:insideV w:val="single" w:sz="0" w:color="FFFFFF"/>
          </w:tcBorders>
        </w:tcPr>
        <w:p>
          <w:r>
            <w:rPr>
              <w:color w:val="567080"/>
              <w:sz w:val="14"/>
            </w:rPr>
            <w:t>CCOP · Beyond GDP</w:t>
          </w:r>
        </w:p>
      </w:tc>
      <w:tc>
        <w:tcPr>
          <w:tcW w:type="dxa" w:w="3360"/>
          <w:tcBorders>
            <w:top w:val="single" w:sz="0" w:color="FFFFFF"/>
            <w:left w:val="single" w:sz="0" w:color="FFFFFF"/>
            <w:bottom w:val="single" w:sz="0" w:color="FFFFFF"/>
            <w:right w:val="single" w:sz="0" w:color="FFFFFF"/>
            <w:insideH w:val="single" w:sz="0" w:color="FFFFFF"/>
            <w:insideV w:val="single" w:sz="0" w:color="FFFFFF"/>
          </w:tcBorders>
        </w:tcPr>
        <w:p>
          <w:pPr>
            <w:jc w:val="center"/>
          </w:pPr>
          <w:r>
            <w:rPr>
              <w:color w:val="567080"/>
              <w:sz w:val="14"/>
            </w:rPr>
            <w:t>July 2026</w:t>
          </w:r>
        </w:p>
      </w:tc>
      <w:tc>
        <w:tcPr>
          <w:tcW w:type="dxa" w:w="3360"/>
          <w:tcBorders>
            <w:top w:val="single" w:sz="0" w:color="FFFFFF"/>
            <w:left w:val="single" w:sz="0" w:color="FFFFFF"/>
            <w:bottom w:val="single" w:sz="0" w:color="FFFFFF"/>
            <w:right w:val="single" w:sz="0" w:color="FFFFFF"/>
            <w:insideH w:val="single" w:sz="0" w:color="FFFFFF"/>
            <w:insideV w:val="single" w:sz="0" w:color="FFFFFF"/>
          </w:tcBorders>
        </w:tcPr>
        <w:p>
          <w:pPr>
            <w:jc w:val="right"/>
          </w:pPr>
          <w:r>
            <w:rPr>
              <w:color w:val="567080"/>
              <w:sz w:val="14"/>
            </w:rPr>
            <w:t xml:space="preserve">Page </w:t>
            <w:fldChar w:fldCharType="begin"/>
            <w:instrText xml:space="preserve">PAGE</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5040"/>
      <w:gridCol w:w="5040"/>
    </w:tblGrid>
    <w:tr>
      <w:tc>
        <w:tcPr>
          <w:tcW w:type="dxa" w:w="5040"/>
          <w:tcBorders>
            <w:top w:val="single" w:sz="0" w:color="FFFFFF"/>
            <w:left w:val="single" w:sz="0" w:color="FFFFFF"/>
            <w:bottom w:val="single" w:sz="0" w:color="FFFFFF"/>
            <w:right w:val="single" w:sz="0" w:color="FFFFFF"/>
            <w:insideH w:val="single" w:sz="0" w:color="FFFFFF"/>
            <w:insideV w:val="single" w:sz="0" w:color="FFFFFF"/>
          </w:tcBorders>
        </w:tcPr>
        <w:p>
          <w:r>
            <w:rPr>
              <w:b/>
              <w:color w:val="0087C8"/>
              <w:sz w:val="18"/>
            </w:rPr>
            <w:t>LUMEN</w:t>
          </w:r>
        </w:p>
      </w:tc>
      <w:tc>
        <w:tcPr>
          <w:tcW w:type="dxa" w:w="5040"/>
          <w:tcBorders>
            <w:top w:val="single" w:sz="0" w:color="FFFFFF"/>
            <w:left w:val="single" w:sz="0" w:color="FFFFFF"/>
            <w:bottom w:val="single" w:sz="0" w:color="FFFFFF"/>
            <w:right w:val="single" w:sz="0" w:color="FFFFFF"/>
            <w:insideH w:val="single" w:sz="0" w:color="FFFFFF"/>
            <w:insideV w:val="single" w:sz="0" w:color="FFFFFF"/>
          </w:tcBorders>
        </w:tcPr>
        <w:p>
          <w:pPr>
            <w:jc w:val="right"/>
          </w:pPr>
          <w:r>
            <w:rPr>
              <w:color w:val="567080"/>
              <w:sz w:val="15"/>
            </w:rPr>
            <w:t>Technical brief 4 · International applications</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Arial" w:hAnsi="Arial"/>
      <w:color w:val="112332"/>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0" w:after="180"/>
      <w:outlineLvl w:val="0"/>
    </w:pPr>
    <w:rPr>
      <w:rFonts w:asciiTheme="majorHAnsi" w:eastAsiaTheme="majorEastAsia" w:hAnsiTheme="majorHAnsi" w:cstheme="majorBidi" w:ascii="Arial" w:hAnsi="Arial"/>
      <w:b/>
      <w:bCs/>
      <w:color w:val="112332"/>
      <w:sz w:val="42"/>
      <w:szCs w:val="28"/>
    </w:rPr>
  </w:style>
  <w:style w:type="paragraph" w:styleId="Heading2">
    <w:name w:val="heading 2"/>
    <w:basedOn w:val="Normal"/>
    <w:next w:val="Normal"/>
    <w:link w:val="Heading2Char"/>
    <w:uiPriority w:val="9"/>
    <w:unhideWhenUsed/>
    <w:qFormat/>
    <w:rsid w:val="00FC693F"/>
    <w:pPr>
      <w:keepNext/>
      <w:keepLines/>
      <w:spacing w:before="140" w:after="100"/>
      <w:outlineLvl w:val="1"/>
    </w:pPr>
    <w:rPr>
      <w:rFonts w:asciiTheme="majorHAnsi" w:eastAsiaTheme="majorEastAsia" w:hAnsiTheme="majorHAnsi" w:cstheme="majorBidi" w:ascii="Arial" w:hAnsi="Arial"/>
      <w:b/>
      <w:bCs/>
      <w:color w:val="006A9E"/>
      <w:sz w:val="27"/>
      <w:szCs w:val="26"/>
    </w:rPr>
  </w:style>
  <w:style w:type="paragraph" w:styleId="Heading3">
    <w:name w:val="heading 3"/>
    <w:basedOn w:val="Normal"/>
    <w:next w:val="Normal"/>
    <w:link w:val="Heading3Char"/>
    <w:uiPriority w:val="9"/>
    <w:unhideWhenUsed/>
    <w:qFormat/>
    <w:rsid w:val="00FC693F"/>
    <w:pPr>
      <w:keepNext/>
      <w:keepLines/>
      <w:spacing w:before="100" w:after="60"/>
      <w:outlineLvl w:val="2"/>
    </w:pPr>
    <w:rPr>
      <w:rFonts w:asciiTheme="majorHAnsi" w:eastAsiaTheme="majorEastAsia" w:hAnsiTheme="majorHAnsi" w:cstheme="majorBidi" w:ascii="Arial" w:hAnsi="Arial"/>
      <w:b/>
      <w:bCs/>
      <w:color w:val="112332"/>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Arial" w:hAnsi="Arial"/>
      <w:b/>
      <w:color w:val="112332"/>
      <w:spacing w:val="5"/>
      <w:kern w:val="28"/>
      <w:sz w:val="6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80"/>
    </w:pPr>
    <w:rPr>
      <w:rFonts w:asciiTheme="majorHAnsi" w:eastAsiaTheme="majorEastAsia" w:hAnsiTheme="majorHAnsi" w:cstheme="majorBidi" w:ascii="Arial" w:hAnsi="Arial"/>
      <w:b w:val="0"/>
      <w:i/>
      <w:iCs/>
      <w:color w:val="567080"/>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cop.world/data/files/un/lumen_beyondgdp.html" TargetMode="Externa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image" Target="media/image3.png"/><Relationship Id="rId15" Type="http://schemas.openxmlformats.org/officeDocument/2006/relationships/hyperlink" Target="https://www.un.org/en/beyondGDP/consultations" TargetMode="External"/><Relationship Id="rId16" Type="http://schemas.openxmlformats.org/officeDocument/2006/relationships/hyperlink" Target="https://www.un.org/sites/un2.un.org/files/high-level_expert_group_on_beyond_gdp_final_report.pdf" TargetMode="External"/><Relationship Id="rId17" Type="http://schemas.openxmlformats.org/officeDocument/2006/relationships/hyperlink" Target="https://www.un.org/sites/un2.un.org/files/fin-guiding_questions_for_the_intergovernmental_process_on_beyond_gdp.docx" TargetMode="External"/><Relationship Id="rId18" Type="http://schemas.openxmlformats.org/officeDocument/2006/relationships/hyperlink" Target="https://www.un.org/pact-for-the-future/en/action-53a" TargetMode="External"/><Relationship Id="rId19" Type="http://schemas.openxmlformats.org/officeDocument/2006/relationships/hyperlink" Target="https://unstats.un.org/sdgs/report/2025/The-Sustainable-Development-Goals-Report-2025.pdf" TargetMode="External"/><Relationship Id="rId20" Type="http://schemas.openxmlformats.org/officeDocument/2006/relationships/hyperlink" Target="https://sdgs.un.org/sites/default/files/2024-02/Final_MVI_report.pdf" TargetMode="External"/><Relationship Id="rId21" Type="http://schemas.openxmlformats.org/officeDocument/2006/relationships/hyperlink" Target="https://financing.desa.un.org/sites/default/files/2025-08/FFD4%20Outcome%20Booklet%20v4_EN%20-%20spread.pdf" TargetMode="External"/><Relationship Id="rId22" Type="http://schemas.openxmlformats.org/officeDocument/2006/relationships/hyperlink" Target="https://unstats.un.org/unsd/statcom/53rd-session/documents/BG-3l-implementation-strategy-for-the-SEEA-ecosystem-accounting-E.pdf" TargetMode="External"/><Relationship Id="rId23" Type="http://schemas.openxmlformats.org/officeDocument/2006/relationships/hyperlink" Target="https://unstats.un.org/UNSDWebsite/statcom/session_55/documents/BG-4c-CGD_Framework-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